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DD5FEE" w14:paraId="2769621B" w14:textId="77777777" w:rsidTr="00DD5FEE">
        <w:tc>
          <w:tcPr>
            <w:tcW w:w="5098" w:type="dxa"/>
          </w:tcPr>
          <w:p w14:paraId="4FA1D45F" w14:textId="4E845ECE" w:rsidR="00DD5FEE" w:rsidRDefault="00DD5FEE" w:rsidP="00DD5FEE">
            <w:pPr>
              <w:rPr>
                <w:rFonts w:ascii="Century Gothic" w:hAnsi="Century Gothic"/>
                <w:b/>
                <w:bCs/>
                <w:sz w:val="24"/>
                <w:szCs w:val="24"/>
              </w:rPr>
            </w:pPr>
            <w:r>
              <w:rPr>
                <w:rFonts w:ascii="Century Gothic" w:hAnsi="Century Gothic"/>
                <w:b/>
                <w:bCs/>
                <w:noProof/>
                <w:sz w:val="24"/>
                <w:szCs w:val="24"/>
              </w:rPr>
              <w:drawing>
                <wp:inline distT="0" distB="0" distL="0" distR="0" wp14:anchorId="4735E485" wp14:editId="32CA0C10">
                  <wp:extent cx="2888124" cy="11358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2897729" cy="1139672"/>
                          </a:xfrm>
                          <a:prstGeom prst="rect">
                            <a:avLst/>
                          </a:prstGeom>
                        </pic:spPr>
                      </pic:pic>
                    </a:graphicData>
                  </a:graphic>
                </wp:inline>
              </w:drawing>
            </w:r>
          </w:p>
        </w:tc>
        <w:tc>
          <w:tcPr>
            <w:tcW w:w="3964" w:type="dxa"/>
          </w:tcPr>
          <w:p w14:paraId="0E5D2BE3" w14:textId="0F321C4F" w:rsidR="00DD5FEE" w:rsidRDefault="00DD5FEE" w:rsidP="00DD5FEE">
            <w:pPr>
              <w:jc w:val="right"/>
              <w:rPr>
                <w:rFonts w:ascii="Century Gothic" w:hAnsi="Century Gothic"/>
                <w:b/>
                <w:bCs/>
                <w:sz w:val="24"/>
                <w:szCs w:val="24"/>
              </w:rPr>
            </w:pPr>
            <w:r>
              <w:rPr>
                <w:rFonts w:ascii="Century Gothic" w:hAnsi="Century Gothic"/>
                <w:b/>
                <w:bCs/>
                <w:noProof/>
                <w:sz w:val="24"/>
                <w:szCs w:val="24"/>
              </w:rPr>
              <w:drawing>
                <wp:inline distT="0" distB="0" distL="0" distR="0" wp14:anchorId="1074B9A0" wp14:editId="27F60739">
                  <wp:extent cx="966158" cy="966158"/>
                  <wp:effectExtent l="0" t="0" r="571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a:extLst>
                              <a:ext uri="{28A0092B-C50C-407E-A947-70E740481C1C}">
                                <a14:useLocalDpi xmlns:a14="http://schemas.microsoft.com/office/drawing/2010/main" val="0"/>
                              </a:ext>
                            </a:extLst>
                          </a:blip>
                          <a:stretch>
                            <a:fillRect/>
                          </a:stretch>
                        </pic:blipFill>
                        <pic:spPr>
                          <a:xfrm>
                            <a:off x="0" y="0"/>
                            <a:ext cx="969129" cy="969129"/>
                          </a:xfrm>
                          <a:prstGeom prst="rect">
                            <a:avLst/>
                          </a:prstGeom>
                        </pic:spPr>
                      </pic:pic>
                    </a:graphicData>
                  </a:graphic>
                </wp:inline>
              </w:drawing>
            </w:r>
          </w:p>
        </w:tc>
      </w:tr>
    </w:tbl>
    <w:p w14:paraId="20E14D4B" w14:textId="77777777" w:rsidR="00DD5FEE" w:rsidRDefault="00DD5FEE" w:rsidP="00DD5FEE">
      <w:pPr>
        <w:jc w:val="center"/>
        <w:rPr>
          <w:rFonts w:ascii="Century Gothic" w:hAnsi="Century Gothic"/>
          <w:b/>
          <w:bCs/>
          <w:sz w:val="24"/>
          <w:szCs w:val="24"/>
        </w:rPr>
      </w:pPr>
    </w:p>
    <w:p w14:paraId="7849AE58" w14:textId="7CD6F76A" w:rsidR="00B10068" w:rsidRDefault="00093088" w:rsidP="00DD5FEE">
      <w:pPr>
        <w:jc w:val="center"/>
        <w:rPr>
          <w:rFonts w:ascii="Century Gothic" w:hAnsi="Century Gothic"/>
          <w:b/>
          <w:bCs/>
          <w:sz w:val="24"/>
          <w:szCs w:val="24"/>
        </w:rPr>
      </w:pPr>
      <w:r>
        <w:rPr>
          <w:rFonts w:ascii="Century Gothic" w:hAnsi="Century Gothic"/>
          <w:b/>
          <w:bCs/>
          <w:sz w:val="24"/>
          <w:szCs w:val="24"/>
        </w:rPr>
        <w:t>CNSPBA-UTICA</w:t>
      </w:r>
      <w:r w:rsidR="00DD5FEE" w:rsidRPr="00DD5FEE">
        <w:rPr>
          <w:rFonts w:ascii="Century Gothic" w:hAnsi="Century Gothic"/>
          <w:b/>
          <w:bCs/>
          <w:sz w:val="24"/>
          <w:szCs w:val="24"/>
        </w:rPr>
        <w:t xml:space="preserve"> lance </w:t>
      </w:r>
      <w:r>
        <w:rPr>
          <w:rFonts w:ascii="Century Gothic" w:hAnsi="Century Gothic"/>
          <w:b/>
          <w:bCs/>
          <w:sz w:val="24"/>
          <w:szCs w:val="24"/>
        </w:rPr>
        <w:t xml:space="preserve">dans le cadre du projet </w:t>
      </w:r>
      <w:r w:rsidRPr="00DD5FEE">
        <w:rPr>
          <w:rFonts w:ascii="Century Gothic" w:hAnsi="Century Gothic"/>
          <w:b/>
          <w:bCs/>
          <w:sz w:val="24"/>
          <w:szCs w:val="24"/>
        </w:rPr>
        <w:t>BESTMEDGRAPE</w:t>
      </w:r>
      <w:r>
        <w:rPr>
          <w:rFonts w:ascii="Century Gothic" w:hAnsi="Century Gothic"/>
          <w:b/>
          <w:bCs/>
          <w:sz w:val="24"/>
          <w:szCs w:val="24"/>
        </w:rPr>
        <w:t xml:space="preserve"> </w:t>
      </w:r>
      <w:r w:rsidR="00DD5FEE" w:rsidRPr="00DD5FEE">
        <w:rPr>
          <w:rFonts w:ascii="Century Gothic" w:hAnsi="Century Gothic"/>
          <w:b/>
          <w:bCs/>
          <w:sz w:val="24"/>
          <w:szCs w:val="24"/>
        </w:rPr>
        <w:t xml:space="preserve">un appel </w:t>
      </w:r>
      <w:r w:rsidR="00DD5FEE">
        <w:rPr>
          <w:rFonts w:ascii="Century Gothic" w:hAnsi="Century Gothic"/>
          <w:b/>
          <w:bCs/>
          <w:sz w:val="24"/>
          <w:szCs w:val="24"/>
        </w:rPr>
        <w:t>à candidatures pour des subventions en cascade au profit de 50 bénéficiaires</w:t>
      </w:r>
    </w:p>
    <w:p w14:paraId="108EC608" w14:textId="77777777" w:rsidR="00DD5FEE" w:rsidRPr="00DD5FEE" w:rsidRDefault="00DD5FEE" w:rsidP="00850F28">
      <w:pPr>
        <w:jc w:val="both"/>
        <w:rPr>
          <w:rFonts w:ascii="Century Gothic" w:hAnsi="Century Gothic"/>
          <w:b/>
          <w:bCs/>
          <w:sz w:val="24"/>
          <w:szCs w:val="24"/>
        </w:rPr>
      </w:pPr>
    </w:p>
    <w:p w14:paraId="21EA19BD" w14:textId="73983176" w:rsidR="00850F28" w:rsidRDefault="00850F28" w:rsidP="00850F28">
      <w:pPr>
        <w:jc w:val="both"/>
        <w:rPr>
          <w:rFonts w:ascii="Century Gothic" w:hAnsi="Century Gothic"/>
          <w:sz w:val="24"/>
          <w:szCs w:val="24"/>
        </w:rPr>
      </w:pPr>
      <w:r w:rsidRPr="00850F28">
        <w:rPr>
          <w:rFonts w:ascii="Century Gothic" w:hAnsi="Century Gothic"/>
          <w:sz w:val="24"/>
          <w:szCs w:val="24"/>
        </w:rPr>
        <w:t xml:space="preserve">La Chambre Nationale Syndicale des Producteurs des Boissons Alcoolisées- Union Tunisienne des Industries, du Commerce et des Artisanats CNSPBA-UTICA, partenaire du projet BESTMEDGRAPE, financé par l'Union Européenne dans le cadre du </w:t>
      </w:r>
      <w:hyperlink r:id="rId6" w:history="1">
        <w:r w:rsidRPr="00093088">
          <w:rPr>
            <w:rStyle w:val="Lienhypertexte"/>
            <w:rFonts w:ascii="Century Gothic" w:hAnsi="Century Gothic"/>
            <w:sz w:val="24"/>
            <w:szCs w:val="24"/>
          </w:rPr>
          <w:t>Programme IEV CTF Med 2014- 2020</w:t>
        </w:r>
      </w:hyperlink>
      <w:r w:rsidRPr="00850F28">
        <w:rPr>
          <w:rFonts w:ascii="Century Gothic" w:hAnsi="Century Gothic"/>
          <w:sz w:val="24"/>
          <w:szCs w:val="24"/>
        </w:rPr>
        <w:t xml:space="preserve">. </w:t>
      </w:r>
    </w:p>
    <w:p w14:paraId="69D55B62" w14:textId="77777777" w:rsidR="00DD5FEE" w:rsidRPr="00850F28" w:rsidRDefault="00DD5FEE" w:rsidP="00850F28">
      <w:pPr>
        <w:jc w:val="both"/>
        <w:rPr>
          <w:rFonts w:ascii="Century Gothic" w:hAnsi="Century Gothic"/>
          <w:sz w:val="24"/>
          <w:szCs w:val="24"/>
        </w:rPr>
      </w:pPr>
    </w:p>
    <w:p w14:paraId="2CDAB6FB" w14:textId="42AB16BA" w:rsidR="00850F28" w:rsidRPr="00850F28" w:rsidRDefault="00850F28" w:rsidP="00850F28">
      <w:pPr>
        <w:jc w:val="both"/>
        <w:rPr>
          <w:rFonts w:ascii="Century Gothic" w:hAnsi="Century Gothic"/>
          <w:sz w:val="24"/>
          <w:szCs w:val="24"/>
        </w:rPr>
      </w:pPr>
      <w:r w:rsidRPr="00850F28">
        <w:rPr>
          <w:rFonts w:ascii="Century Gothic" w:hAnsi="Century Gothic"/>
          <w:sz w:val="24"/>
          <w:szCs w:val="24"/>
        </w:rPr>
        <w:t xml:space="preserve">L'objectif de cet appel à subventions en cascade est de sélectionner 50 bénéficiaires - 10 personnes physiques par pays bénéficiaire du projet BESTMEDGRAPE (France, Italie, Jordanie, Liban et Tunisie) - pour le développement de nouveaux produits utilisant les sous-produits du raisin et du vin. L'objectif final est d'encourager la création d'initiatives commerciales individuelles et collectives axées sur la transformation et la commercialisation des sous-produits du vin. Un montant total de 250 000 euros est mis à disposition. </w:t>
      </w:r>
    </w:p>
    <w:p w14:paraId="5DAA953F" w14:textId="77777777" w:rsidR="00850F28" w:rsidRPr="00850F28" w:rsidRDefault="00850F28" w:rsidP="00850F28">
      <w:pPr>
        <w:jc w:val="both"/>
        <w:rPr>
          <w:rFonts w:ascii="Century Gothic" w:hAnsi="Century Gothic"/>
          <w:sz w:val="24"/>
          <w:szCs w:val="24"/>
        </w:rPr>
      </w:pPr>
    </w:p>
    <w:p w14:paraId="7D15B341" w14:textId="77777777" w:rsidR="00DD5FEE" w:rsidRDefault="00850F28" w:rsidP="00850F28">
      <w:pPr>
        <w:jc w:val="both"/>
        <w:rPr>
          <w:rFonts w:ascii="Century Gothic" w:hAnsi="Century Gothic"/>
          <w:sz w:val="24"/>
          <w:szCs w:val="24"/>
        </w:rPr>
      </w:pPr>
      <w:r w:rsidRPr="00850F28">
        <w:rPr>
          <w:rFonts w:ascii="Century Gothic" w:hAnsi="Century Gothic"/>
          <w:sz w:val="24"/>
          <w:szCs w:val="24"/>
        </w:rPr>
        <w:t xml:space="preserve">Les lignes directrices définissent les règles pour la soumission, la sélection et la mise en œuvre des actions financées dans le cadre de cet appel, conformément aux règles du programme IEV CTF Med. </w:t>
      </w:r>
    </w:p>
    <w:p w14:paraId="742C7876" w14:textId="70DF68BB" w:rsidR="00850F28" w:rsidRPr="00850F28" w:rsidRDefault="00850F28" w:rsidP="00850F28">
      <w:pPr>
        <w:jc w:val="both"/>
        <w:rPr>
          <w:rFonts w:ascii="Century Gothic" w:hAnsi="Century Gothic"/>
          <w:sz w:val="24"/>
          <w:szCs w:val="24"/>
        </w:rPr>
      </w:pPr>
      <w:r w:rsidRPr="00850F28">
        <w:rPr>
          <w:rFonts w:ascii="Century Gothic" w:hAnsi="Century Gothic"/>
          <w:sz w:val="24"/>
          <w:szCs w:val="24"/>
        </w:rPr>
        <w:t>Veuillez trouver tous les documents pertinents</w:t>
      </w:r>
      <w:r w:rsidR="00745F28">
        <w:rPr>
          <w:rFonts w:ascii="Century Gothic" w:hAnsi="Century Gothic"/>
          <w:sz w:val="24"/>
          <w:szCs w:val="24"/>
        </w:rPr>
        <w:t xml:space="preserve"> en arabe, français, italien et anglais</w:t>
      </w:r>
      <w:r w:rsidRPr="00850F28">
        <w:rPr>
          <w:rFonts w:ascii="Century Gothic" w:hAnsi="Century Gothic"/>
          <w:sz w:val="24"/>
          <w:szCs w:val="24"/>
        </w:rPr>
        <w:t xml:space="preserve"> sur </w:t>
      </w:r>
      <w:hyperlink r:id="rId7" w:history="1">
        <w:r w:rsidRPr="00DD5FEE">
          <w:rPr>
            <w:rStyle w:val="Lienhypertexte"/>
            <w:rFonts w:ascii="Century Gothic" w:hAnsi="Century Gothic"/>
            <w:sz w:val="24"/>
            <w:szCs w:val="24"/>
          </w:rPr>
          <w:t>la page web du projet dans la section</w:t>
        </w:r>
        <w:r w:rsidRPr="00DD5FEE">
          <w:rPr>
            <w:rStyle w:val="Lienhypertexte"/>
            <w:rFonts w:ascii="Century Gothic" w:hAnsi="Century Gothic"/>
            <w:sz w:val="24"/>
            <w:szCs w:val="24"/>
          </w:rPr>
          <w:t xml:space="preserve"> </w:t>
        </w:r>
        <w:r w:rsidRPr="00DD5FEE">
          <w:rPr>
            <w:rStyle w:val="Lienhypertexte"/>
            <w:rFonts w:ascii="Century Gothic" w:hAnsi="Century Gothic"/>
            <w:sz w:val="24"/>
            <w:szCs w:val="24"/>
          </w:rPr>
          <w:t>Bibliothèque</w:t>
        </w:r>
      </w:hyperlink>
      <w:r w:rsidR="00745F28">
        <w:rPr>
          <w:rFonts w:ascii="Century Gothic" w:hAnsi="Century Gothic"/>
          <w:sz w:val="24"/>
          <w:szCs w:val="24"/>
        </w:rPr>
        <w:t xml:space="preserve"> – sous-section « documents ».</w:t>
      </w:r>
    </w:p>
    <w:p w14:paraId="69163A41" w14:textId="77777777" w:rsidR="00850F28" w:rsidRPr="00850F28" w:rsidRDefault="00850F28" w:rsidP="00850F28">
      <w:pPr>
        <w:jc w:val="both"/>
        <w:rPr>
          <w:rFonts w:ascii="Century Gothic" w:hAnsi="Century Gothic"/>
          <w:sz w:val="24"/>
          <w:szCs w:val="24"/>
        </w:rPr>
      </w:pPr>
    </w:p>
    <w:p w14:paraId="14C5C554" w14:textId="4A15357A" w:rsidR="00850F28" w:rsidRPr="00850F28" w:rsidRDefault="00850F28" w:rsidP="00850F28">
      <w:pPr>
        <w:jc w:val="both"/>
        <w:rPr>
          <w:rFonts w:ascii="Century Gothic" w:hAnsi="Century Gothic"/>
          <w:sz w:val="24"/>
          <w:szCs w:val="24"/>
        </w:rPr>
      </w:pPr>
      <w:r w:rsidRPr="00850F28">
        <w:rPr>
          <w:rFonts w:ascii="Century Gothic" w:hAnsi="Century Gothic"/>
          <w:sz w:val="24"/>
          <w:szCs w:val="24"/>
        </w:rPr>
        <w:t xml:space="preserve">Date limite de soumission des candidatures : 26 mai 2022, minuit </w:t>
      </w:r>
      <w:r>
        <w:rPr>
          <w:rFonts w:ascii="Century Gothic" w:hAnsi="Century Gothic"/>
          <w:sz w:val="24"/>
          <w:szCs w:val="24"/>
        </w:rPr>
        <w:t>(</w:t>
      </w:r>
      <w:r w:rsidRPr="00850F28">
        <w:rPr>
          <w:rFonts w:ascii="Century Gothic" w:hAnsi="Century Gothic"/>
          <w:sz w:val="24"/>
          <w:szCs w:val="24"/>
        </w:rPr>
        <w:t>CET</w:t>
      </w:r>
      <w:r>
        <w:rPr>
          <w:rFonts w:ascii="Century Gothic" w:hAnsi="Century Gothic"/>
          <w:sz w:val="24"/>
          <w:szCs w:val="24"/>
        </w:rPr>
        <w:t>) -</w:t>
      </w:r>
      <w:r w:rsidRPr="00850F28">
        <w:rPr>
          <w:rFonts w:ascii="Century Gothic" w:hAnsi="Century Gothic"/>
          <w:sz w:val="24"/>
          <w:szCs w:val="24"/>
        </w:rPr>
        <w:t xml:space="preserve"> 23h</w:t>
      </w:r>
      <w:r>
        <w:rPr>
          <w:rFonts w:ascii="Century Gothic" w:hAnsi="Century Gothic"/>
          <w:sz w:val="24"/>
          <w:szCs w:val="24"/>
        </w:rPr>
        <w:t>00,</w:t>
      </w:r>
      <w:r w:rsidRPr="00850F28">
        <w:rPr>
          <w:rFonts w:ascii="Century Gothic" w:hAnsi="Century Gothic"/>
          <w:sz w:val="24"/>
          <w:szCs w:val="24"/>
        </w:rPr>
        <w:t xml:space="preserve"> heure locale de Tunis.</w:t>
      </w:r>
    </w:p>
    <w:p w14:paraId="022FE8B5" w14:textId="77777777" w:rsidR="00850F28" w:rsidRPr="00850F28" w:rsidRDefault="00850F28" w:rsidP="00850F28">
      <w:pPr>
        <w:jc w:val="both"/>
        <w:rPr>
          <w:rFonts w:ascii="Century Gothic" w:hAnsi="Century Gothic"/>
          <w:sz w:val="24"/>
          <w:szCs w:val="24"/>
        </w:rPr>
      </w:pPr>
    </w:p>
    <w:p w14:paraId="00919B19" w14:textId="0FECB64D" w:rsidR="00850F28" w:rsidRPr="00850F28" w:rsidRDefault="00850F28" w:rsidP="00850F28">
      <w:pPr>
        <w:jc w:val="both"/>
        <w:rPr>
          <w:rFonts w:ascii="Century Gothic" w:hAnsi="Century Gothic"/>
          <w:sz w:val="24"/>
          <w:szCs w:val="24"/>
        </w:rPr>
      </w:pPr>
    </w:p>
    <w:sectPr w:rsidR="00850F28" w:rsidRPr="00850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68"/>
    <w:rsid w:val="00093088"/>
    <w:rsid w:val="00745F28"/>
    <w:rsid w:val="00850F28"/>
    <w:rsid w:val="00872AC5"/>
    <w:rsid w:val="00B10068"/>
    <w:rsid w:val="00DD5F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72C"/>
  <w15:chartTrackingRefBased/>
  <w15:docId w15:val="{07361835-B333-4582-85EE-8D77186B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5FEE"/>
    <w:rPr>
      <w:color w:val="0563C1" w:themeColor="hyperlink"/>
      <w:u w:val="single"/>
    </w:rPr>
  </w:style>
  <w:style w:type="character" w:styleId="Mentionnonrsolue">
    <w:name w:val="Unresolved Mention"/>
    <w:basedOn w:val="Policepardfaut"/>
    <w:uiPriority w:val="99"/>
    <w:semiHidden/>
    <w:unhideWhenUsed/>
    <w:rsid w:val="00DD5FEE"/>
    <w:rPr>
      <w:color w:val="605E5C"/>
      <w:shd w:val="clear" w:color="auto" w:fill="E1DFDD"/>
    </w:rPr>
  </w:style>
  <w:style w:type="table" w:styleId="Grilledutableau">
    <w:name w:val="Table Grid"/>
    <w:basedOn w:val="TableauNormal"/>
    <w:uiPriority w:val="39"/>
    <w:rsid w:val="00DD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45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ttps://www.enicbcmed.eu/projects/bestmedgra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www.enicbcmed.eu/fr/accueil" TargetMode="External"/><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Trabelsi</dc:creator>
  <cp:keywords/>
  <dc:description/>
  <cp:lastModifiedBy>Hana Trabelsi</cp:lastModifiedBy>
  <cp:revision>4</cp:revision>
  <dcterms:created xsi:type="dcterms:W3CDTF">2022-04-22T10:11:00Z</dcterms:created>
  <dcterms:modified xsi:type="dcterms:W3CDTF">2022-04-27T10:08:00Z</dcterms:modified>
</cp:coreProperties>
</file>