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4D4FF" w14:textId="77777777" w:rsidR="009664DE" w:rsidRPr="00D51933" w:rsidRDefault="009664DE" w:rsidP="009664DE">
      <w:pPr>
        <w:pStyle w:val="Titre1"/>
        <w:jc w:val="center"/>
        <w:rPr>
          <w:rFonts w:asciiTheme="minorHAnsi" w:hAnsiTheme="minorHAnsi" w:cstheme="minorHAnsi"/>
          <w:color w:val="auto"/>
          <w:sz w:val="22"/>
          <w:szCs w:val="22"/>
        </w:rPr>
      </w:pPr>
      <w:r w:rsidRPr="00D51933">
        <w:rPr>
          <w:rFonts w:asciiTheme="minorHAnsi" w:hAnsiTheme="minorHAnsi" w:cstheme="minorHAnsi"/>
          <w:color w:val="auto"/>
          <w:sz w:val="22"/>
          <w:szCs w:val="22"/>
        </w:rPr>
        <w:t>International Planned Parenthood Federation</w:t>
      </w:r>
    </w:p>
    <w:p w14:paraId="6DCC142C" w14:textId="77777777" w:rsidR="001C6FB8" w:rsidRPr="00D51933" w:rsidRDefault="001C6FB8" w:rsidP="001C6FB8">
      <w:pPr>
        <w:jc w:val="center"/>
        <w:rPr>
          <w:rFonts w:asciiTheme="minorHAnsi" w:hAnsiTheme="minorHAnsi" w:cstheme="minorHAnsi"/>
          <w:sz w:val="22"/>
          <w:szCs w:val="22"/>
        </w:rPr>
      </w:pPr>
      <w:r w:rsidRPr="00D51933">
        <w:rPr>
          <w:rFonts w:asciiTheme="minorHAnsi" w:hAnsiTheme="minorHAnsi" w:cstheme="minorHAnsi"/>
          <w:sz w:val="22"/>
          <w:szCs w:val="22"/>
        </w:rPr>
        <w:t>Arab World Regional Office</w:t>
      </w:r>
    </w:p>
    <w:p w14:paraId="492EDE82" w14:textId="77777777" w:rsidR="009664DE" w:rsidRPr="00D51933" w:rsidRDefault="009664DE" w:rsidP="009664DE">
      <w:pPr>
        <w:rPr>
          <w:rFonts w:asciiTheme="minorHAnsi" w:hAnsiTheme="minorHAnsi" w:cstheme="minorHAnsi"/>
          <w:sz w:val="22"/>
          <w:szCs w:val="22"/>
        </w:rPr>
      </w:pPr>
    </w:p>
    <w:tbl>
      <w:tblPr>
        <w:tblW w:w="5000" w:type="pct"/>
        <w:tblLook w:val="0000" w:firstRow="0" w:lastRow="0" w:firstColumn="0" w:lastColumn="0" w:noHBand="0" w:noVBand="0"/>
      </w:tblPr>
      <w:tblGrid>
        <w:gridCol w:w="4672"/>
        <w:gridCol w:w="4672"/>
      </w:tblGrid>
      <w:tr w:rsidR="009664DE" w:rsidRPr="00D51933" w14:paraId="768B70E9"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61B0B41"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Job Title:</w:t>
            </w:r>
          </w:p>
        </w:tc>
      </w:tr>
      <w:tr w:rsidR="009664DE" w:rsidRPr="00D51933" w14:paraId="2C4016CE"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77929A" w14:textId="5E4056D0" w:rsidR="009664DE" w:rsidRPr="00596CDE" w:rsidRDefault="00F636D7" w:rsidP="00942770">
            <w:pPr>
              <w:spacing w:before="60" w:after="60"/>
              <w:jc w:val="center"/>
              <w:rPr>
                <w:rFonts w:asciiTheme="minorHAnsi" w:hAnsiTheme="minorHAnsi" w:cstheme="minorHAnsi"/>
                <w:b/>
                <w:bCs/>
                <w:sz w:val="22"/>
                <w:szCs w:val="22"/>
              </w:rPr>
            </w:pPr>
            <w:r w:rsidRPr="00596CDE">
              <w:rPr>
                <w:rFonts w:asciiTheme="minorHAnsi" w:hAnsiTheme="minorHAnsi" w:cstheme="minorHAnsi"/>
                <w:b/>
                <w:bCs/>
                <w:sz w:val="22"/>
                <w:szCs w:val="22"/>
              </w:rPr>
              <w:t xml:space="preserve">Youth Advisor </w:t>
            </w:r>
          </w:p>
        </w:tc>
      </w:tr>
      <w:tr w:rsidR="009664DE" w:rsidRPr="00D51933" w14:paraId="2916CE79"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1B7B627"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Location:</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6FD3BD6C" w14:textId="2D8596A6"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Function/D</w:t>
            </w:r>
            <w:r w:rsidR="00FC6379">
              <w:rPr>
                <w:rFonts w:asciiTheme="minorHAnsi" w:hAnsiTheme="minorHAnsi" w:cstheme="minorHAnsi"/>
                <w:b/>
                <w:sz w:val="22"/>
                <w:szCs w:val="22"/>
              </w:rPr>
              <w:t>epartment</w:t>
            </w:r>
            <w:r w:rsidRPr="00D51933">
              <w:rPr>
                <w:rFonts w:asciiTheme="minorHAnsi" w:hAnsiTheme="minorHAnsi" w:cstheme="minorHAnsi"/>
                <w:b/>
                <w:sz w:val="22"/>
                <w:szCs w:val="22"/>
              </w:rPr>
              <w:t>:</w:t>
            </w:r>
          </w:p>
        </w:tc>
      </w:tr>
      <w:tr w:rsidR="009664DE" w:rsidRPr="00D51933" w14:paraId="46EE1EC0"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6AFBC3B5" w14:textId="77777777" w:rsidR="009664DE" w:rsidRPr="00D51933" w:rsidRDefault="009664DE" w:rsidP="00942770">
            <w:pPr>
              <w:spacing w:before="60" w:after="60"/>
              <w:jc w:val="center"/>
              <w:rPr>
                <w:rFonts w:asciiTheme="minorHAnsi" w:hAnsiTheme="minorHAnsi" w:cstheme="minorHAnsi"/>
                <w:sz w:val="22"/>
                <w:szCs w:val="22"/>
              </w:rPr>
            </w:pPr>
            <w:r w:rsidRPr="00D51933">
              <w:rPr>
                <w:rFonts w:asciiTheme="minorHAnsi" w:hAnsiTheme="minorHAnsi" w:cstheme="minorHAnsi"/>
                <w:sz w:val="22"/>
                <w:szCs w:val="22"/>
              </w:rPr>
              <w:t xml:space="preserve"> Tunis, Tunisia</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78FE918" w14:textId="687B038F" w:rsidR="009664DE" w:rsidRPr="00D51933" w:rsidRDefault="003569A4" w:rsidP="003569A4">
            <w:pPr>
              <w:spacing w:before="60" w:after="60"/>
              <w:jc w:val="center"/>
              <w:rPr>
                <w:rFonts w:asciiTheme="minorHAnsi" w:hAnsiTheme="minorHAnsi" w:cstheme="minorHAnsi"/>
                <w:sz w:val="22"/>
                <w:szCs w:val="22"/>
                <w:highlight w:val="yellow"/>
              </w:rPr>
            </w:pPr>
            <w:r>
              <w:rPr>
                <w:rFonts w:asciiTheme="minorHAnsi" w:hAnsiTheme="minorHAnsi" w:cstheme="minorHAnsi"/>
                <w:sz w:val="22"/>
                <w:szCs w:val="22"/>
              </w:rPr>
              <w:t xml:space="preserve">Program Management </w:t>
            </w:r>
            <w:r w:rsidR="00F636D7" w:rsidRPr="00596CDE">
              <w:rPr>
                <w:rFonts w:asciiTheme="minorHAnsi" w:hAnsiTheme="minorHAnsi" w:cstheme="minorHAnsi"/>
                <w:sz w:val="22"/>
                <w:szCs w:val="22"/>
              </w:rPr>
              <w:t>Department</w:t>
            </w:r>
          </w:p>
        </w:tc>
      </w:tr>
      <w:tr w:rsidR="009664DE" w:rsidRPr="00D51933" w14:paraId="16B67CDD"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81E8E35"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Responsible to:</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074254A9"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Date:</w:t>
            </w:r>
          </w:p>
        </w:tc>
      </w:tr>
      <w:tr w:rsidR="009664DE" w:rsidRPr="00D51933" w14:paraId="654A9430"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71E0D6DD" w14:textId="1290170A" w:rsidR="009664DE" w:rsidRPr="00D51933" w:rsidRDefault="00F636D7" w:rsidP="00942770">
            <w:pPr>
              <w:spacing w:before="60" w:after="60"/>
              <w:jc w:val="center"/>
              <w:rPr>
                <w:rFonts w:asciiTheme="minorHAnsi" w:hAnsiTheme="minorHAnsi" w:cstheme="minorHAnsi"/>
                <w:sz w:val="22"/>
                <w:szCs w:val="22"/>
              </w:rPr>
            </w:pPr>
            <w:r>
              <w:rPr>
                <w:rFonts w:asciiTheme="minorHAnsi" w:hAnsiTheme="minorHAnsi" w:cstheme="minorHAnsi"/>
                <w:sz w:val="22"/>
                <w:szCs w:val="22"/>
              </w:rPr>
              <w:t xml:space="preserve">ARD </w:t>
            </w:r>
            <w:r w:rsidR="00134A09">
              <w:rPr>
                <w:rFonts w:asciiTheme="minorHAnsi" w:hAnsiTheme="minorHAnsi" w:cstheme="minorHAnsi"/>
                <w:sz w:val="22"/>
                <w:szCs w:val="22"/>
              </w:rPr>
              <w:t>Program Management</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99FDF69" w14:textId="472445CD" w:rsidR="009664DE" w:rsidRPr="00D51933" w:rsidRDefault="00F636D7" w:rsidP="00942770">
            <w:pPr>
              <w:tabs>
                <w:tab w:val="left" w:pos="540"/>
              </w:tabs>
              <w:spacing w:before="60" w:after="60"/>
              <w:ind w:left="504" w:hanging="472"/>
              <w:jc w:val="center"/>
              <w:rPr>
                <w:rFonts w:asciiTheme="minorHAnsi" w:hAnsiTheme="minorHAnsi" w:cstheme="minorHAnsi"/>
                <w:sz w:val="22"/>
                <w:szCs w:val="22"/>
              </w:rPr>
            </w:pPr>
            <w:r>
              <w:rPr>
                <w:rFonts w:asciiTheme="minorHAnsi" w:hAnsiTheme="minorHAnsi" w:cstheme="minorHAnsi"/>
                <w:sz w:val="22"/>
                <w:szCs w:val="22"/>
              </w:rPr>
              <w:t>February 2021</w:t>
            </w:r>
          </w:p>
        </w:tc>
      </w:tr>
      <w:tr w:rsidR="009664DE" w:rsidRPr="00D51933" w14:paraId="6EC23DBA"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7923D57E" w14:textId="77777777" w:rsidR="009664DE" w:rsidRPr="00D51933" w:rsidRDefault="009664DE" w:rsidP="00942770">
            <w:pPr>
              <w:spacing w:before="60" w:after="60"/>
              <w:rPr>
                <w:rFonts w:asciiTheme="minorHAnsi" w:hAnsiTheme="minorHAnsi" w:cstheme="minorHAnsi"/>
                <w:b/>
                <w:sz w:val="22"/>
                <w:szCs w:val="22"/>
              </w:rPr>
            </w:pPr>
            <w:r w:rsidRPr="00D51933">
              <w:rPr>
                <w:rFonts w:asciiTheme="minorHAnsi" w:hAnsiTheme="minorHAnsi" w:cstheme="minorHAnsi"/>
                <w:b/>
                <w:sz w:val="22"/>
                <w:szCs w:val="22"/>
              </w:rPr>
              <w:t>1.</w:t>
            </w:r>
            <w:r w:rsidRPr="00D51933">
              <w:rPr>
                <w:rFonts w:asciiTheme="minorHAnsi" w:hAnsiTheme="minorHAnsi" w:cstheme="minorHAnsi"/>
                <w:b/>
                <w:sz w:val="22"/>
                <w:szCs w:val="22"/>
              </w:rPr>
              <w:tab/>
              <w:t>JOB PURPOSE</w:t>
            </w:r>
          </w:p>
        </w:tc>
      </w:tr>
      <w:tr w:rsidR="009664DE" w:rsidRPr="00D51933" w14:paraId="23B76911"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bottom w:val="nil"/>
            </w:tcBorders>
            <w:shd w:val="clear" w:color="auto" w:fill="auto"/>
            <w:vAlign w:val="center"/>
          </w:tcPr>
          <w:p w14:paraId="37C5360D" w14:textId="71E2E61B" w:rsidR="009664DE" w:rsidRPr="00D51933" w:rsidRDefault="009D013E" w:rsidP="003569A4">
            <w:pPr>
              <w:rPr>
                <w:rFonts w:asciiTheme="minorHAnsi" w:hAnsiTheme="minorHAnsi" w:cstheme="minorHAnsi"/>
                <w:sz w:val="22"/>
                <w:szCs w:val="22"/>
              </w:rPr>
            </w:pPr>
            <w:r w:rsidRPr="009D013E">
              <w:rPr>
                <w:rFonts w:asciiTheme="minorHAnsi" w:hAnsiTheme="minorHAnsi" w:cstheme="minorHAnsi"/>
                <w:sz w:val="22"/>
                <w:szCs w:val="22"/>
              </w:rPr>
              <w:t>This role, part of IPPF</w:t>
            </w:r>
            <w:r>
              <w:rPr>
                <w:rFonts w:asciiTheme="minorHAnsi" w:hAnsiTheme="minorHAnsi" w:cstheme="minorHAnsi"/>
                <w:sz w:val="22"/>
                <w:szCs w:val="22"/>
              </w:rPr>
              <w:t xml:space="preserve"> AWR</w:t>
            </w:r>
            <w:r w:rsidRPr="009D013E">
              <w:rPr>
                <w:rFonts w:asciiTheme="minorHAnsi" w:hAnsiTheme="minorHAnsi" w:cstheme="minorHAnsi"/>
                <w:sz w:val="22"/>
                <w:szCs w:val="22"/>
              </w:rPr>
              <w:t xml:space="preserve">’s </w:t>
            </w:r>
            <w:r w:rsidR="003569A4">
              <w:rPr>
                <w:rFonts w:asciiTheme="minorHAnsi" w:hAnsiTheme="minorHAnsi" w:cstheme="minorHAnsi"/>
                <w:sz w:val="22"/>
                <w:szCs w:val="22"/>
              </w:rPr>
              <w:t xml:space="preserve">Program Management </w:t>
            </w:r>
            <w:r w:rsidRPr="009D013E">
              <w:rPr>
                <w:rFonts w:asciiTheme="minorHAnsi" w:hAnsiTheme="minorHAnsi" w:cstheme="minorHAnsi"/>
                <w:sz w:val="22"/>
                <w:szCs w:val="22"/>
              </w:rPr>
              <w:t xml:space="preserve">Team, will have a key responsibility to champion young people’s sexual and reproductive health and rights (SRHR) across the </w:t>
            </w:r>
            <w:r>
              <w:rPr>
                <w:rFonts w:asciiTheme="minorHAnsi" w:hAnsiTheme="minorHAnsi" w:cstheme="minorHAnsi"/>
                <w:sz w:val="22"/>
                <w:szCs w:val="22"/>
              </w:rPr>
              <w:t>Region</w:t>
            </w:r>
            <w:r w:rsidRPr="009D013E">
              <w:rPr>
                <w:rFonts w:asciiTheme="minorHAnsi" w:hAnsiTheme="minorHAnsi" w:cstheme="minorHAnsi"/>
                <w:sz w:val="22"/>
                <w:szCs w:val="22"/>
              </w:rPr>
              <w:t xml:space="preserve"> and externally. They will contribute to IPPF</w:t>
            </w:r>
            <w:r>
              <w:rPr>
                <w:rFonts w:asciiTheme="minorHAnsi" w:hAnsiTheme="minorHAnsi" w:cstheme="minorHAnsi"/>
                <w:sz w:val="22"/>
                <w:szCs w:val="22"/>
              </w:rPr>
              <w:t xml:space="preserve"> AWR</w:t>
            </w:r>
            <w:r w:rsidRPr="009D013E">
              <w:rPr>
                <w:rFonts w:asciiTheme="minorHAnsi" w:hAnsiTheme="minorHAnsi" w:cstheme="minorHAnsi"/>
                <w:sz w:val="22"/>
                <w:szCs w:val="22"/>
              </w:rPr>
              <w:t xml:space="preserve">’s technical leadership as a service provider and advocate for young people’s SRHR, by providing support to a number of </w:t>
            </w:r>
            <w:r>
              <w:rPr>
                <w:rFonts w:asciiTheme="minorHAnsi" w:hAnsiTheme="minorHAnsi" w:cstheme="minorHAnsi"/>
                <w:sz w:val="22"/>
                <w:szCs w:val="22"/>
              </w:rPr>
              <w:t xml:space="preserve">MAs’ </w:t>
            </w:r>
            <w:r w:rsidRPr="009D013E">
              <w:rPr>
                <w:rFonts w:asciiTheme="minorHAnsi" w:hAnsiTheme="minorHAnsi" w:cstheme="minorHAnsi"/>
                <w:sz w:val="22"/>
                <w:szCs w:val="22"/>
              </w:rPr>
              <w:t>programmes focussed on meaningful youth participation and engagement. They will also work to mainstream a youth-centred approach across IPPF</w:t>
            </w:r>
            <w:r>
              <w:rPr>
                <w:rFonts w:asciiTheme="minorHAnsi" w:hAnsiTheme="minorHAnsi" w:cstheme="minorHAnsi"/>
                <w:sz w:val="22"/>
                <w:szCs w:val="22"/>
              </w:rPr>
              <w:t xml:space="preserve"> AWR</w:t>
            </w:r>
            <w:r w:rsidRPr="009D013E">
              <w:rPr>
                <w:rFonts w:asciiTheme="minorHAnsi" w:hAnsiTheme="minorHAnsi" w:cstheme="minorHAnsi"/>
                <w:sz w:val="22"/>
                <w:szCs w:val="22"/>
              </w:rPr>
              <w:t>’s programmes, in order to champion the SRHR of young people and adolescents, particularly those from poor and vulnerable populations.</w:t>
            </w:r>
          </w:p>
        </w:tc>
      </w:tr>
      <w:tr w:rsidR="009664DE" w:rsidRPr="00D51933" w14:paraId="7E73421F"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4E466A92" w14:textId="77777777" w:rsidR="009664DE" w:rsidRPr="00D51933" w:rsidRDefault="009664DE" w:rsidP="00942770">
            <w:pPr>
              <w:spacing w:before="60" w:after="60"/>
              <w:rPr>
                <w:rFonts w:asciiTheme="minorHAnsi" w:hAnsiTheme="minorHAnsi" w:cstheme="minorHAnsi"/>
                <w:b/>
                <w:sz w:val="22"/>
                <w:szCs w:val="22"/>
              </w:rPr>
            </w:pPr>
            <w:r w:rsidRPr="00D51933">
              <w:rPr>
                <w:rFonts w:asciiTheme="minorHAnsi" w:hAnsiTheme="minorHAnsi" w:cstheme="minorHAnsi"/>
                <w:b/>
                <w:sz w:val="22"/>
                <w:szCs w:val="22"/>
              </w:rPr>
              <w:t>2.</w:t>
            </w:r>
            <w:r w:rsidRPr="00D51933">
              <w:rPr>
                <w:rFonts w:asciiTheme="minorHAnsi" w:hAnsiTheme="minorHAnsi" w:cstheme="minorHAnsi"/>
                <w:b/>
                <w:sz w:val="22"/>
                <w:szCs w:val="22"/>
              </w:rPr>
              <w:tab/>
              <w:t xml:space="preserve">KEY TASKS </w:t>
            </w:r>
          </w:p>
        </w:tc>
      </w:tr>
      <w:tr w:rsidR="009664DE" w:rsidRPr="00D51933" w14:paraId="69389179"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DAFE" w14:textId="77777777" w:rsidR="00F636D7" w:rsidRPr="00F636D7" w:rsidRDefault="00F636D7" w:rsidP="00F636D7">
            <w:pPr>
              <w:pStyle w:val="Paragraphedeliste"/>
              <w:numPr>
                <w:ilvl w:val="0"/>
                <w:numId w:val="6"/>
              </w:numPr>
              <w:rPr>
                <w:rFonts w:asciiTheme="minorHAnsi" w:hAnsiTheme="minorHAnsi" w:cstheme="minorHAnsi"/>
                <w:sz w:val="22"/>
                <w:szCs w:val="22"/>
              </w:rPr>
            </w:pPr>
            <w:r w:rsidRPr="00F636D7">
              <w:rPr>
                <w:rFonts w:asciiTheme="minorHAnsi" w:hAnsiTheme="minorHAnsi" w:cstheme="minorHAnsi"/>
                <w:sz w:val="22"/>
                <w:szCs w:val="22"/>
              </w:rPr>
              <w:t>Embed IPPF’s youth centred approach across IPPF AWR, working across all MAs to mainstream and gain ownership and commitment</w:t>
            </w:r>
          </w:p>
          <w:p w14:paraId="3C9321E2" w14:textId="77777777" w:rsidR="00F636D7" w:rsidRPr="00F636D7" w:rsidRDefault="00F636D7" w:rsidP="00F636D7">
            <w:pPr>
              <w:pStyle w:val="Paragraphedeliste"/>
              <w:numPr>
                <w:ilvl w:val="0"/>
                <w:numId w:val="6"/>
              </w:numPr>
              <w:rPr>
                <w:rFonts w:asciiTheme="minorHAnsi" w:hAnsiTheme="minorHAnsi" w:cstheme="minorHAnsi"/>
                <w:sz w:val="22"/>
                <w:szCs w:val="22"/>
              </w:rPr>
            </w:pPr>
            <w:r w:rsidRPr="00F636D7">
              <w:rPr>
                <w:rFonts w:asciiTheme="minorHAnsi" w:hAnsiTheme="minorHAnsi" w:cstheme="minorHAnsi"/>
                <w:sz w:val="22"/>
                <w:szCs w:val="22"/>
              </w:rPr>
              <w:t>To provide technical input and support in the formulation and monitoring of regional policies and innovative programme approaches that support CSE and Youth programmes, as well as a youth centred approach.</w:t>
            </w:r>
          </w:p>
          <w:p w14:paraId="7387AC3F" w14:textId="77777777" w:rsidR="00F636D7" w:rsidRPr="00F636D7" w:rsidRDefault="00F636D7" w:rsidP="00F636D7">
            <w:pPr>
              <w:pStyle w:val="Paragraphedeliste"/>
              <w:numPr>
                <w:ilvl w:val="0"/>
                <w:numId w:val="6"/>
              </w:numPr>
              <w:rPr>
                <w:rFonts w:asciiTheme="minorHAnsi" w:hAnsiTheme="minorHAnsi" w:cstheme="minorHAnsi"/>
                <w:sz w:val="22"/>
                <w:szCs w:val="22"/>
              </w:rPr>
            </w:pPr>
            <w:r w:rsidRPr="00F636D7">
              <w:rPr>
                <w:rFonts w:asciiTheme="minorHAnsi" w:hAnsiTheme="minorHAnsi" w:cstheme="minorHAnsi"/>
                <w:sz w:val="22"/>
                <w:szCs w:val="22"/>
              </w:rPr>
              <w:t>Propose, inform and coordinate short &amp; longer term programme strategies to increase young people’s access to comprehensive sexuality education in the region.</w:t>
            </w:r>
          </w:p>
          <w:p w14:paraId="36E7E23A" w14:textId="667131CE" w:rsidR="00F636D7" w:rsidRPr="00F636D7" w:rsidRDefault="00F636D7" w:rsidP="00061631">
            <w:pPr>
              <w:pStyle w:val="Paragraphedeliste"/>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 xml:space="preserve">Remain updated on developments in all technical areas related to CSE and youth programmes in general and in AWR in particular, through documentation, networking, </w:t>
            </w:r>
            <w:r w:rsidR="00061631" w:rsidRPr="00F636D7">
              <w:rPr>
                <w:rFonts w:asciiTheme="minorHAnsi" w:hAnsiTheme="minorHAnsi" w:cstheme="minorHAnsi"/>
                <w:sz w:val="22"/>
                <w:szCs w:val="22"/>
              </w:rPr>
              <w:t>and active</w:t>
            </w:r>
            <w:r w:rsidRPr="00F636D7">
              <w:rPr>
                <w:rFonts w:asciiTheme="minorHAnsi" w:hAnsiTheme="minorHAnsi" w:cstheme="minorHAnsi"/>
                <w:sz w:val="22"/>
                <w:szCs w:val="22"/>
              </w:rPr>
              <w:t xml:space="preserve"> participation in technical groups.</w:t>
            </w:r>
          </w:p>
          <w:p w14:paraId="78DE8FED" w14:textId="77777777" w:rsidR="00F636D7" w:rsidRPr="00F636D7" w:rsidRDefault="00F636D7" w:rsidP="00F636D7">
            <w:pPr>
              <w:pStyle w:val="Paragraphedeliste"/>
              <w:numPr>
                <w:ilvl w:val="0"/>
                <w:numId w:val="6"/>
              </w:numPr>
              <w:rPr>
                <w:rFonts w:asciiTheme="minorHAnsi" w:hAnsiTheme="minorHAnsi" w:cstheme="minorHAnsi"/>
                <w:sz w:val="22"/>
                <w:szCs w:val="22"/>
              </w:rPr>
            </w:pPr>
            <w:r w:rsidRPr="00F636D7">
              <w:rPr>
                <w:rFonts w:asciiTheme="minorHAnsi" w:hAnsiTheme="minorHAnsi" w:cstheme="minorHAnsi"/>
                <w:sz w:val="22"/>
                <w:szCs w:val="22"/>
              </w:rPr>
              <w:t>To collaborate with the regional office departments and MAs, and IPPF secretariat working on other aspects of the Strategic Framework and Secretariat Implementation Plan where young people’s engagement, leadership and advocacy are being addressed,</w:t>
            </w:r>
          </w:p>
          <w:p w14:paraId="0D447488" w14:textId="77777777" w:rsidR="00F636D7" w:rsidRPr="00F636D7" w:rsidRDefault="00F636D7" w:rsidP="00F636D7">
            <w:pPr>
              <w:pStyle w:val="Paragraphedeliste"/>
              <w:numPr>
                <w:ilvl w:val="0"/>
                <w:numId w:val="6"/>
              </w:numPr>
              <w:rPr>
                <w:rFonts w:asciiTheme="minorHAnsi" w:hAnsiTheme="minorHAnsi" w:cstheme="minorHAnsi"/>
                <w:sz w:val="22"/>
                <w:szCs w:val="22"/>
              </w:rPr>
            </w:pPr>
            <w:r w:rsidRPr="00F636D7">
              <w:rPr>
                <w:rFonts w:asciiTheme="minorHAnsi" w:hAnsiTheme="minorHAnsi" w:cstheme="minorHAnsi"/>
                <w:sz w:val="22"/>
                <w:szCs w:val="22"/>
              </w:rPr>
              <w:t>To review, research and prepare briefing sheets, background papers and publications, technical tools and guidelines relating to CSE and Youth programmes.</w:t>
            </w:r>
          </w:p>
          <w:p w14:paraId="16373B95" w14:textId="77777777" w:rsidR="00F636D7" w:rsidRPr="00F636D7" w:rsidRDefault="00F636D7" w:rsidP="00F636D7">
            <w:pPr>
              <w:pStyle w:val="Paragraphedeliste"/>
              <w:numPr>
                <w:ilvl w:val="0"/>
                <w:numId w:val="6"/>
              </w:numPr>
              <w:rPr>
                <w:rFonts w:asciiTheme="minorHAnsi" w:hAnsiTheme="minorHAnsi" w:cstheme="minorHAnsi"/>
                <w:sz w:val="22"/>
                <w:szCs w:val="22"/>
              </w:rPr>
            </w:pPr>
            <w:r w:rsidRPr="00F636D7">
              <w:rPr>
                <w:rFonts w:asciiTheme="minorHAnsi" w:hAnsiTheme="minorHAnsi" w:cstheme="minorHAnsi"/>
                <w:sz w:val="22"/>
                <w:szCs w:val="22"/>
              </w:rPr>
              <w:t>Provide the technical input for the AWR MA Forum and reports to IPPF Board and its committees.</w:t>
            </w:r>
          </w:p>
          <w:p w14:paraId="5FF5831E" w14:textId="77777777" w:rsidR="00F636D7" w:rsidRPr="00F636D7" w:rsidRDefault="00F636D7" w:rsidP="00F636D7">
            <w:pPr>
              <w:pStyle w:val="Paragraphedeliste"/>
              <w:numPr>
                <w:ilvl w:val="0"/>
                <w:numId w:val="6"/>
              </w:numPr>
              <w:rPr>
                <w:rFonts w:asciiTheme="minorHAnsi" w:hAnsiTheme="minorHAnsi" w:cstheme="minorHAnsi"/>
                <w:sz w:val="22"/>
                <w:szCs w:val="22"/>
              </w:rPr>
            </w:pPr>
            <w:r w:rsidRPr="00F636D7">
              <w:rPr>
                <w:rFonts w:asciiTheme="minorHAnsi" w:hAnsiTheme="minorHAnsi" w:cstheme="minorHAnsi"/>
                <w:sz w:val="22"/>
                <w:szCs w:val="22"/>
              </w:rPr>
              <w:t xml:space="preserve">Lead the development of AWR regional youth strategy. </w:t>
            </w:r>
          </w:p>
          <w:p w14:paraId="68B3F461" w14:textId="77777777" w:rsidR="00F636D7" w:rsidRPr="00F636D7" w:rsidRDefault="00F636D7" w:rsidP="00F636D7">
            <w:pPr>
              <w:pStyle w:val="Paragraphedeliste"/>
              <w:numPr>
                <w:ilvl w:val="0"/>
                <w:numId w:val="6"/>
              </w:numPr>
              <w:rPr>
                <w:rFonts w:asciiTheme="minorHAnsi" w:hAnsiTheme="minorHAnsi" w:cstheme="minorHAnsi"/>
                <w:sz w:val="22"/>
                <w:szCs w:val="22"/>
              </w:rPr>
            </w:pPr>
            <w:r w:rsidRPr="00F636D7">
              <w:rPr>
                <w:rFonts w:asciiTheme="minorHAnsi" w:hAnsiTheme="minorHAnsi" w:cstheme="minorHAnsi"/>
                <w:sz w:val="22"/>
                <w:szCs w:val="22"/>
              </w:rPr>
              <w:t>Support the AWR youth network plans, activities and meetings.</w:t>
            </w:r>
          </w:p>
          <w:p w14:paraId="49EC25D0" w14:textId="77777777" w:rsidR="009D013E" w:rsidRDefault="00F636D7" w:rsidP="009D013E">
            <w:pPr>
              <w:pStyle w:val="Paragraphedeliste"/>
              <w:numPr>
                <w:ilvl w:val="0"/>
                <w:numId w:val="6"/>
              </w:numPr>
              <w:rPr>
                <w:rFonts w:asciiTheme="minorHAnsi" w:hAnsiTheme="minorHAnsi" w:cstheme="minorHAnsi"/>
                <w:sz w:val="22"/>
                <w:szCs w:val="22"/>
              </w:rPr>
            </w:pPr>
            <w:r w:rsidRPr="00F636D7">
              <w:rPr>
                <w:rFonts w:asciiTheme="minorHAnsi" w:hAnsiTheme="minorHAnsi" w:cstheme="minorHAnsi"/>
                <w:sz w:val="22"/>
                <w:szCs w:val="22"/>
              </w:rPr>
              <w:t>Provide IPPF AWR member associations with full information on the Youth Network and its activities and solicit their proactive support in implementing the youth centred approach, fostering MA youth groups and recruiting network members.</w:t>
            </w:r>
          </w:p>
          <w:p w14:paraId="75661B77" w14:textId="7A062C09" w:rsidR="009D013E" w:rsidRPr="009D013E" w:rsidRDefault="009D013E" w:rsidP="009D013E">
            <w:pPr>
              <w:pStyle w:val="Paragraphedeliste"/>
              <w:numPr>
                <w:ilvl w:val="0"/>
                <w:numId w:val="6"/>
              </w:numPr>
              <w:rPr>
                <w:rFonts w:asciiTheme="minorHAnsi" w:hAnsiTheme="minorHAnsi" w:cstheme="minorHAnsi"/>
                <w:sz w:val="22"/>
                <w:szCs w:val="22"/>
              </w:rPr>
            </w:pPr>
            <w:r>
              <w:rPr>
                <w:rFonts w:asciiTheme="minorHAnsi" w:hAnsiTheme="minorHAnsi" w:cstheme="minorHAnsi"/>
                <w:sz w:val="22"/>
                <w:szCs w:val="22"/>
              </w:rPr>
              <w:t>U</w:t>
            </w:r>
            <w:r w:rsidRPr="009D013E">
              <w:rPr>
                <w:rFonts w:asciiTheme="minorHAnsi" w:hAnsiTheme="minorHAnsi" w:cstheme="minorHAnsi"/>
                <w:sz w:val="22"/>
                <w:szCs w:val="22"/>
              </w:rPr>
              <w:t>ndertake any other reasonable duties as may be requested from time to time.</w:t>
            </w:r>
          </w:p>
        </w:tc>
      </w:tr>
      <w:tr w:rsidR="00DC3585" w:rsidRPr="00D51933" w14:paraId="22F3B46F" w14:textId="77777777" w:rsidTr="00942770">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3A31C8DE" w14:textId="77777777" w:rsidR="00DC3585"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3</w:t>
            </w:r>
            <w:r w:rsidRPr="00D51933">
              <w:rPr>
                <w:rFonts w:asciiTheme="minorHAnsi" w:hAnsiTheme="minorHAnsi" w:cstheme="minorHAnsi"/>
                <w:b/>
                <w:sz w:val="22"/>
                <w:szCs w:val="22"/>
              </w:rPr>
              <w:t>.</w:t>
            </w:r>
            <w:r w:rsidRPr="00D51933">
              <w:rPr>
                <w:rFonts w:asciiTheme="minorHAnsi" w:hAnsiTheme="minorHAnsi" w:cstheme="minorHAnsi"/>
                <w:b/>
                <w:sz w:val="22"/>
                <w:szCs w:val="22"/>
              </w:rPr>
              <w:tab/>
              <w:t>RESPONSIBILITIES</w:t>
            </w:r>
          </w:p>
        </w:tc>
      </w:tr>
      <w:tr w:rsidR="00DC3585" w:rsidRPr="00D51933" w14:paraId="5231432D" w14:textId="77777777" w:rsidTr="00942770">
        <w:trPr>
          <w:trHeight w:val="20"/>
        </w:trPr>
        <w:tc>
          <w:tcPr>
            <w:tcW w:w="5000" w:type="pct"/>
            <w:gridSpan w:val="2"/>
            <w:tcBorders>
              <w:top w:val="single" w:sz="6" w:space="0" w:color="auto"/>
              <w:left w:val="single" w:sz="6" w:space="0" w:color="auto"/>
              <w:right w:val="single" w:sz="6" w:space="0" w:color="auto"/>
            </w:tcBorders>
            <w:shd w:val="clear" w:color="auto" w:fill="auto"/>
          </w:tcPr>
          <w:p w14:paraId="7A5DBA3F" w14:textId="77777777" w:rsidR="00DC3585" w:rsidRPr="00D51933" w:rsidRDefault="00DC3585" w:rsidP="00942770">
            <w:pPr>
              <w:numPr>
                <w:ilvl w:val="0"/>
                <w:numId w:val="1"/>
              </w:numPr>
              <w:spacing w:before="60" w:after="60"/>
              <w:rPr>
                <w:rFonts w:asciiTheme="minorHAnsi" w:hAnsiTheme="minorHAnsi" w:cstheme="minorHAnsi"/>
                <w:b/>
                <w:sz w:val="22"/>
                <w:szCs w:val="22"/>
              </w:rPr>
            </w:pPr>
            <w:r w:rsidRPr="00D51933">
              <w:rPr>
                <w:rFonts w:asciiTheme="minorHAnsi" w:hAnsiTheme="minorHAnsi" w:cstheme="minorHAnsi"/>
                <w:b/>
                <w:sz w:val="22"/>
                <w:szCs w:val="22"/>
              </w:rPr>
              <w:t>Staff responsibilities carried out by the job holder</w:t>
            </w:r>
          </w:p>
          <w:p w14:paraId="78BEFE5E" w14:textId="7374A940" w:rsidR="00DC3585" w:rsidRPr="00D51933" w:rsidRDefault="009D013E" w:rsidP="00942770">
            <w:pPr>
              <w:spacing w:before="60" w:after="60"/>
              <w:rPr>
                <w:rFonts w:asciiTheme="minorHAnsi" w:hAnsiTheme="minorHAnsi" w:cstheme="minorHAnsi"/>
                <w:sz w:val="22"/>
                <w:szCs w:val="22"/>
              </w:rPr>
            </w:pPr>
            <w:r w:rsidRPr="009D013E">
              <w:rPr>
                <w:rFonts w:asciiTheme="minorHAnsi" w:hAnsiTheme="minorHAnsi" w:cstheme="minorHAnsi"/>
                <w:sz w:val="22"/>
                <w:szCs w:val="22"/>
              </w:rPr>
              <w:t>The post holder does not have direct responsibility for staff.</w:t>
            </w:r>
          </w:p>
        </w:tc>
      </w:tr>
      <w:tr w:rsidR="00DC3585" w:rsidRPr="00D51933" w14:paraId="71957F1E" w14:textId="77777777" w:rsidTr="0094277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6EAE5E5" w14:textId="77777777" w:rsidR="00DC3585" w:rsidRPr="00D51933" w:rsidRDefault="00DC3585" w:rsidP="00942770">
            <w:pPr>
              <w:numPr>
                <w:ilvl w:val="0"/>
                <w:numId w:val="1"/>
              </w:numPr>
              <w:spacing w:before="60" w:after="60"/>
              <w:rPr>
                <w:rFonts w:asciiTheme="minorHAnsi" w:hAnsiTheme="minorHAnsi" w:cstheme="minorHAnsi"/>
                <w:b/>
                <w:sz w:val="22"/>
                <w:szCs w:val="22"/>
              </w:rPr>
            </w:pPr>
            <w:r w:rsidRPr="00D51933">
              <w:rPr>
                <w:rFonts w:asciiTheme="minorHAnsi" w:hAnsiTheme="minorHAnsi" w:cstheme="minorHAnsi"/>
                <w:b/>
                <w:sz w:val="22"/>
                <w:szCs w:val="22"/>
              </w:rPr>
              <w:t>Financial responsibilities carried by the job holder</w:t>
            </w:r>
          </w:p>
          <w:p w14:paraId="3C826625" w14:textId="22A498ED" w:rsidR="00DC3585" w:rsidRPr="00693DD6" w:rsidRDefault="009D013E" w:rsidP="009D013E">
            <w:pPr>
              <w:spacing w:before="60" w:after="60"/>
              <w:rPr>
                <w:rFonts w:asciiTheme="minorHAnsi" w:hAnsiTheme="minorHAnsi" w:cstheme="minorHAnsi"/>
                <w:bCs/>
                <w:sz w:val="22"/>
                <w:szCs w:val="22"/>
              </w:rPr>
            </w:pPr>
            <w:r w:rsidRPr="009D013E">
              <w:rPr>
                <w:rFonts w:asciiTheme="minorHAnsi" w:hAnsiTheme="minorHAnsi" w:cstheme="minorHAnsi"/>
                <w:bCs/>
                <w:sz w:val="22"/>
                <w:szCs w:val="22"/>
              </w:rPr>
              <w:t>The post holder does not have direct responsibility for financial resources, but monitors budgets and contributes technical expertise to significant restricted funding bids</w:t>
            </w:r>
            <w:r>
              <w:rPr>
                <w:rFonts w:asciiTheme="minorHAnsi" w:hAnsiTheme="minorHAnsi" w:cstheme="minorHAnsi"/>
                <w:bCs/>
                <w:sz w:val="22"/>
                <w:szCs w:val="22"/>
              </w:rPr>
              <w:t>.</w:t>
            </w:r>
            <w:r w:rsidRPr="009D013E">
              <w:rPr>
                <w:rFonts w:asciiTheme="minorHAnsi" w:hAnsiTheme="minorHAnsi" w:cstheme="minorHAnsi"/>
                <w:bCs/>
                <w:sz w:val="22"/>
                <w:szCs w:val="22"/>
              </w:rPr>
              <w:t xml:space="preserve"> </w:t>
            </w:r>
          </w:p>
        </w:tc>
      </w:tr>
      <w:tr w:rsidR="00DC3585" w:rsidRPr="00D51933" w14:paraId="3D9A3C0B" w14:textId="77777777" w:rsidTr="00942770">
        <w:trPr>
          <w:trHeight w:val="20"/>
        </w:trPr>
        <w:tc>
          <w:tcPr>
            <w:tcW w:w="5000" w:type="pct"/>
            <w:gridSpan w:val="2"/>
            <w:tcBorders>
              <w:top w:val="single" w:sz="4" w:space="0" w:color="auto"/>
              <w:left w:val="single" w:sz="6" w:space="0" w:color="auto"/>
              <w:right w:val="single" w:sz="6" w:space="0" w:color="auto"/>
            </w:tcBorders>
            <w:shd w:val="clear" w:color="auto" w:fill="auto"/>
          </w:tcPr>
          <w:p w14:paraId="0F3A8E66" w14:textId="77777777" w:rsidR="00DC3585" w:rsidRPr="00D51933" w:rsidRDefault="00DC3585" w:rsidP="00942770">
            <w:pPr>
              <w:numPr>
                <w:ilvl w:val="0"/>
                <w:numId w:val="1"/>
              </w:numPr>
              <w:spacing w:before="60" w:after="60"/>
              <w:rPr>
                <w:rFonts w:asciiTheme="minorHAnsi" w:hAnsiTheme="minorHAnsi" w:cstheme="minorHAnsi"/>
                <w:b/>
                <w:sz w:val="22"/>
                <w:szCs w:val="22"/>
              </w:rPr>
            </w:pPr>
            <w:r w:rsidRPr="00D51933">
              <w:rPr>
                <w:rFonts w:asciiTheme="minorHAnsi" w:hAnsiTheme="minorHAnsi" w:cstheme="minorHAnsi"/>
                <w:b/>
                <w:sz w:val="22"/>
                <w:szCs w:val="22"/>
              </w:rPr>
              <w:t>Advisory responsibilities carried out by the job holder</w:t>
            </w:r>
          </w:p>
          <w:p w14:paraId="54759321" w14:textId="4D09ED7D" w:rsidR="00DC3585" w:rsidRPr="00D51933" w:rsidRDefault="009D013E" w:rsidP="009D013E">
            <w:pPr>
              <w:spacing w:before="60" w:after="60"/>
              <w:rPr>
                <w:rFonts w:asciiTheme="minorHAnsi" w:hAnsiTheme="minorHAnsi" w:cstheme="minorHAnsi"/>
                <w:sz w:val="22"/>
                <w:szCs w:val="22"/>
              </w:rPr>
            </w:pPr>
            <w:r w:rsidRPr="009D013E">
              <w:rPr>
                <w:rFonts w:asciiTheme="minorHAnsi" w:hAnsiTheme="minorHAnsi" w:cstheme="minorHAnsi"/>
                <w:sz w:val="22"/>
                <w:szCs w:val="22"/>
              </w:rPr>
              <w:t xml:space="preserve">The post holder advises </w:t>
            </w:r>
            <w:r>
              <w:rPr>
                <w:rFonts w:asciiTheme="minorHAnsi" w:hAnsiTheme="minorHAnsi" w:cstheme="minorHAnsi"/>
                <w:sz w:val="22"/>
                <w:szCs w:val="22"/>
              </w:rPr>
              <w:t>the Member Associations and</w:t>
            </w:r>
            <w:r w:rsidRPr="009D013E">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9D013E">
              <w:rPr>
                <w:rFonts w:asciiTheme="minorHAnsi" w:hAnsiTheme="minorHAnsi" w:cstheme="minorHAnsi"/>
                <w:sz w:val="22"/>
                <w:szCs w:val="22"/>
              </w:rPr>
              <w:t>Regional Office on technical issues related to CSE and youth centred SRH services</w:t>
            </w:r>
            <w:r>
              <w:rPr>
                <w:rFonts w:asciiTheme="minorHAnsi" w:hAnsiTheme="minorHAnsi" w:cstheme="minorHAnsi"/>
                <w:sz w:val="22"/>
                <w:szCs w:val="22"/>
              </w:rPr>
              <w:t xml:space="preserve"> and programmes</w:t>
            </w:r>
            <w:r w:rsidRPr="009D013E">
              <w:rPr>
                <w:rFonts w:asciiTheme="minorHAnsi" w:hAnsiTheme="minorHAnsi" w:cstheme="minorHAnsi"/>
                <w:sz w:val="22"/>
                <w:szCs w:val="22"/>
              </w:rPr>
              <w:t>. The post holder also provides materials and updates suitable for Member Associations and external contacts.</w:t>
            </w:r>
          </w:p>
        </w:tc>
      </w:tr>
      <w:tr w:rsidR="00693DD6" w:rsidRPr="00D51933" w14:paraId="176DD9E2"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FE50C7" w14:textId="77777777" w:rsidR="00693DD6"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4</w:t>
            </w:r>
            <w:r w:rsidR="00693DD6" w:rsidRPr="00D51933">
              <w:rPr>
                <w:rFonts w:asciiTheme="minorHAnsi" w:hAnsiTheme="minorHAnsi" w:cstheme="minorHAnsi"/>
                <w:b/>
                <w:sz w:val="22"/>
                <w:szCs w:val="22"/>
              </w:rPr>
              <w:t>.</w:t>
            </w:r>
            <w:r w:rsidR="00693DD6" w:rsidRPr="00D51933">
              <w:rPr>
                <w:rFonts w:asciiTheme="minorHAnsi" w:hAnsiTheme="minorHAnsi" w:cstheme="minorHAnsi"/>
                <w:b/>
                <w:sz w:val="22"/>
                <w:szCs w:val="22"/>
              </w:rPr>
              <w:tab/>
              <w:t>COMPETENCES</w:t>
            </w:r>
          </w:p>
        </w:tc>
      </w:tr>
      <w:tr w:rsidR="00693DD6" w:rsidRPr="00D51933" w14:paraId="1CAF4A88"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0C9E36" w14:textId="3788483C" w:rsidR="009D013E" w:rsidRPr="002D6E21" w:rsidRDefault="009D013E" w:rsidP="002D6E21">
            <w:pPr>
              <w:pStyle w:val="Paragraphedeliste"/>
              <w:numPr>
                <w:ilvl w:val="0"/>
                <w:numId w:val="12"/>
              </w:numPr>
              <w:rPr>
                <w:rFonts w:asciiTheme="minorHAnsi" w:hAnsiTheme="minorHAnsi" w:cstheme="minorHAnsi"/>
                <w:sz w:val="22"/>
                <w:szCs w:val="22"/>
              </w:rPr>
            </w:pPr>
            <w:r w:rsidRPr="002D6E21">
              <w:rPr>
                <w:rFonts w:asciiTheme="minorHAnsi" w:hAnsiTheme="minorHAnsi" w:cstheme="minorHAnsi"/>
                <w:sz w:val="22"/>
                <w:szCs w:val="22"/>
              </w:rPr>
              <w:t xml:space="preserve">Advanced </w:t>
            </w:r>
            <w:r w:rsidR="002D6E21">
              <w:rPr>
                <w:rFonts w:asciiTheme="minorHAnsi" w:hAnsiTheme="minorHAnsi" w:cstheme="minorHAnsi"/>
                <w:sz w:val="22"/>
                <w:szCs w:val="22"/>
              </w:rPr>
              <w:t>application</w:t>
            </w:r>
            <w:r w:rsidRPr="002D6E21">
              <w:rPr>
                <w:rFonts w:asciiTheme="minorHAnsi" w:hAnsiTheme="minorHAnsi" w:cstheme="minorHAnsi"/>
                <w:sz w:val="22"/>
                <w:szCs w:val="22"/>
              </w:rPr>
              <w:t xml:space="preserve"> in technical youth SRHR programming,</w:t>
            </w:r>
            <w:r w:rsidR="000D1928">
              <w:rPr>
                <w:rFonts w:asciiTheme="minorHAnsi" w:hAnsiTheme="minorHAnsi" w:cstheme="minorHAnsi"/>
                <w:sz w:val="22"/>
                <w:szCs w:val="22"/>
              </w:rPr>
              <w:t xml:space="preserve"> as well as youth empowerment and engagement in governance,</w:t>
            </w:r>
            <w:r w:rsidRPr="002D6E21">
              <w:rPr>
                <w:rFonts w:asciiTheme="minorHAnsi" w:hAnsiTheme="minorHAnsi" w:cstheme="minorHAnsi"/>
                <w:sz w:val="22"/>
                <w:szCs w:val="22"/>
              </w:rPr>
              <w:t xml:space="preserve"> preferably in the Arab World region. </w:t>
            </w:r>
          </w:p>
          <w:p w14:paraId="44E1B7B8" w14:textId="0D486382" w:rsidR="009D013E" w:rsidRPr="002D6E21" w:rsidRDefault="009D013E" w:rsidP="002D6E21">
            <w:pPr>
              <w:pStyle w:val="Paragraphedeliste"/>
              <w:numPr>
                <w:ilvl w:val="0"/>
                <w:numId w:val="12"/>
              </w:numPr>
              <w:rPr>
                <w:rFonts w:asciiTheme="minorHAnsi" w:hAnsiTheme="minorHAnsi" w:cstheme="minorHAnsi"/>
                <w:sz w:val="22"/>
                <w:szCs w:val="22"/>
              </w:rPr>
            </w:pPr>
            <w:r w:rsidRPr="002D6E21">
              <w:rPr>
                <w:rFonts w:asciiTheme="minorHAnsi" w:hAnsiTheme="minorHAnsi" w:cstheme="minorHAnsi"/>
                <w:sz w:val="22"/>
                <w:szCs w:val="22"/>
              </w:rPr>
              <w:t>Developed understanding of sexual and reproductive health and rights, particularly as they relate to young people.</w:t>
            </w:r>
          </w:p>
          <w:p w14:paraId="0DC01341" w14:textId="2CAEB1A4" w:rsidR="009D013E" w:rsidRPr="00D51933" w:rsidRDefault="009D013E" w:rsidP="00596CDE">
            <w:pPr>
              <w:rPr>
                <w:rFonts w:asciiTheme="minorHAnsi" w:hAnsiTheme="minorHAnsi" w:cstheme="minorHAnsi"/>
                <w:sz w:val="22"/>
                <w:szCs w:val="22"/>
              </w:rPr>
            </w:pPr>
          </w:p>
        </w:tc>
      </w:tr>
      <w:tr w:rsidR="009664DE" w:rsidRPr="00D51933" w14:paraId="03E9D3BA" w14:textId="77777777" w:rsidTr="00942770">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0BCAF370" w14:textId="77777777" w:rsidR="009664DE"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5</w:t>
            </w:r>
            <w:r w:rsidR="009664DE" w:rsidRPr="00D51933">
              <w:rPr>
                <w:rFonts w:asciiTheme="minorHAnsi" w:hAnsiTheme="minorHAnsi" w:cstheme="minorHAnsi"/>
                <w:b/>
                <w:sz w:val="22"/>
                <w:szCs w:val="22"/>
              </w:rPr>
              <w:t>.</w:t>
            </w:r>
            <w:r w:rsidR="009664DE" w:rsidRPr="00D51933">
              <w:rPr>
                <w:rFonts w:asciiTheme="minorHAnsi" w:hAnsiTheme="minorHAnsi" w:cstheme="minorHAnsi"/>
                <w:b/>
                <w:sz w:val="22"/>
                <w:szCs w:val="22"/>
              </w:rPr>
              <w:tab/>
              <w:t>EDUCATION &amp; QUALIFICATIONS</w:t>
            </w:r>
          </w:p>
        </w:tc>
      </w:tr>
      <w:tr w:rsidR="009664DE" w:rsidRPr="00D51933" w14:paraId="1E9434B0" w14:textId="77777777" w:rsidTr="0094277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C3759" w14:textId="04ECCF52" w:rsidR="009664DE" w:rsidRPr="00D51933" w:rsidRDefault="009D013E" w:rsidP="009664DE">
            <w:pPr>
              <w:numPr>
                <w:ilvl w:val="0"/>
                <w:numId w:val="2"/>
              </w:numPr>
              <w:tabs>
                <w:tab w:val="num" w:pos="540"/>
              </w:tabs>
              <w:spacing w:before="60" w:after="60"/>
              <w:ind w:left="360" w:hanging="274"/>
              <w:rPr>
                <w:rFonts w:asciiTheme="minorHAnsi" w:hAnsiTheme="minorHAnsi" w:cstheme="minorHAnsi"/>
                <w:sz w:val="22"/>
                <w:szCs w:val="22"/>
              </w:rPr>
            </w:pPr>
            <w:r>
              <w:rPr>
                <w:rFonts w:asciiTheme="minorHAnsi" w:hAnsiTheme="minorHAnsi" w:cstheme="minorHAnsi"/>
                <w:sz w:val="22"/>
                <w:szCs w:val="22"/>
              </w:rPr>
              <w:t>Master degree or equivalent in public health, social sciences or related fields.</w:t>
            </w:r>
          </w:p>
        </w:tc>
      </w:tr>
      <w:tr w:rsidR="009664DE" w:rsidRPr="00D51933" w14:paraId="02CC768A"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B6183C" w14:textId="77777777" w:rsidR="009664DE"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6</w:t>
            </w:r>
            <w:r w:rsidR="009664DE" w:rsidRPr="00D51933">
              <w:rPr>
                <w:rFonts w:asciiTheme="minorHAnsi" w:hAnsiTheme="minorHAnsi" w:cstheme="minorHAnsi"/>
                <w:b/>
                <w:sz w:val="22"/>
                <w:szCs w:val="22"/>
              </w:rPr>
              <w:t>.</w:t>
            </w:r>
            <w:r w:rsidR="009664DE" w:rsidRPr="00D51933">
              <w:rPr>
                <w:rFonts w:asciiTheme="minorHAnsi" w:hAnsiTheme="minorHAnsi" w:cstheme="minorHAnsi"/>
                <w:b/>
                <w:sz w:val="22"/>
                <w:szCs w:val="22"/>
              </w:rPr>
              <w:tab/>
              <w:t>PROFESSIONAL EXPERIENCE</w:t>
            </w:r>
          </w:p>
        </w:tc>
      </w:tr>
      <w:tr w:rsidR="009664DE" w:rsidRPr="00D51933" w14:paraId="19F5197D" w14:textId="77777777" w:rsidTr="0094277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72787" w14:textId="77777777" w:rsidR="009664DE" w:rsidRDefault="009D013E" w:rsidP="00DC3585">
            <w:pPr>
              <w:numPr>
                <w:ilvl w:val="0"/>
                <w:numId w:val="2"/>
              </w:numPr>
              <w:tabs>
                <w:tab w:val="num" w:pos="540"/>
              </w:tabs>
              <w:spacing w:before="60" w:after="60"/>
              <w:ind w:left="360" w:hanging="274"/>
              <w:rPr>
                <w:rFonts w:asciiTheme="minorHAnsi" w:hAnsiTheme="minorHAnsi" w:cstheme="minorHAnsi"/>
                <w:sz w:val="22"/>
                <w:szCs w:val="22"/>
              </w:rPr>
            </w:pPr>
            <w:r>
              <w:rPr>
                <w:rFonts w:asciiTheme="minorHAnsi" w:hAnsiTheme="minorHAnsi" w:cstheme="minorHAnsi"/>
                <w:sz w:val="22"/>
                <w:szCs w:val="22"/>
              </w:rPr>
              <w:t xml:space="preserve">At least 3-5 years’ relevant experience in </w:t>
            </w:r>
            <w:r w:rsidR="00596CDE">
              <w:rPr>
                <w:rFonts w:asciiTheme="minorHAnsi" w:hAnsiTheme="minorHAnsi" w:cstheme="minorHAnsi"/>
                <w:sz w:val="22"/>
                <w:szCs w:val="22"/>
              </w:rPr>
              <w:t>youth SRHR programs management</w:t>
            </w:r>
          </w:p>
          <w:p w14:paraId="78EC3D35" w14:textId="21C0DC8C" w:rsidR="00596CDE" w:rsidRPr="00DC3585" w:rsidRDefault="00596CDE" w:rsidP="00DC3585">
            <w:pPr>
              <w:numPr>
                <w:ilvl w:val="0"/>
                <w:numId w:val="2"/>
              </w:numPr>
              <w:tabs>
                <w:tab w:val="num" w:pos="540"/>
              </w:tabs>
              <w:spacing w:before="60" w:after="60"/>
              <w:ind w:left="360" w:hanging="274"/>
              <w:rPr>
                <w:rFonts w:asciiTheme="minorHAnsi" w:hAnsiTheme="minorHAnsi" w:cstheme="minorHAnsi"/>
                <w:sz w:val="22"/>
                <w:szCs w:val="22"/>
              </w:rPr>
            </w:pPr>
            <w:r>
              <w:rPr>
                <w:rFonts w:asciiTheme="minorHAnsi" w:hAnsiTheme="minorHAnsi" w:cstheme="minorHAnsi"/>
                <w:sz w:val="22"/>
                <w:szCs w:val="22"/>
              </w:rPr>
              <w:t>Experience working with organizations in the Arab World Region and knowledge of the social context in the region</w:t>
            </w:r>
          </w:p>
        </w:tc>
      </w:tr>
      <w:tr w:rsidR="00693DD6" w:rsidRPr="00D51933" w14:paraId="1BFBAB54"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ADF84EF" w14:textId="77777777" w:rsidR="00693DD6"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7</w:t>
            </w:r>
            <w:r w:rsidR="00693DD6" w:rsidRPr="00D51933">
              <w:rPr>
                <w:rFonts w:asciiTheme="minorHAnsi" w:hAnsiTheme="minorHAnsi" w:cstheme="minorHAnsi"/>
                <w:b/>
                <w:sz w:val="22"/>
                <w:szCs w:val="22"/>
              </w:rPr>
              <w:t xml:space="preserve">. </w:t>
            </w:r>
            <w:r w:rsidR="00693DD6" w:rsidRPr="00D51933">
              <w:rPr>
                <w:rFonts w:asciiTheme="minorHAnsi" w:hAnsiTheme="minorHAnsi" w:cstheme="minorHAnsi"/>
                <w:b/>
                <w:sz w:val="22"/>
                <w:szCs w:val="22"/>
              </w:rPr>
              <w:tab/>
              <w:t>SKILLS</w:t>
            </w:r>
          </w:p>
        </w:tc>
      </w:tr>
      <w:tr w:rsidR="00693DD6" w:rsidRPr="00D51933" w14:paraId="30056AD9"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87B93" w14:textId="77777777" w:rsidR="00693DD6" w:rsidRPr="00D51933" w:rsidRDefault="00693DD6" w:rsidP="00596CDE">
            <w:pPr>
              <w:pStyle w:val="GSPHeader1"/>
              <w:numPr>
                <w:ilvl w:val="0"/>
                <w:numId w:val="2"/>
              </w:numPr>
              <w:rPr>
                <w:rFonts w:asciiTheme="minorHAnsi" w:hAnsiTheme="minorHAnsi" w:cstheme="minorHAnsi"/>
                <w:b w:val="0"/>
                <w:bCs w:val="0"/>
                <w:caps w:val="0"/>
              </w:rPr>
            </w:pPr>
            <w:r>
              <w:rPr>
                <w:rFonts w:asciiTheme="minorHAnsi" w:hAnsiTheme="minorHAnsi" w:cstheme="minorHAnsi"/>
                <w:b w:val="0"/>
                <w:bCs w:val="0"/>
                <w:caps w:val="0"/>
              </w:rPr>
              <w:t>Advanced computing skills, to include Word, Excel, PowerPoint, Outlook</w:t>
            </w:r>
          </w:p>
          <w:p w14:paraId="60E3CBEF" w14:textId="77777777" w:rsidR="00596CDE" w:rsidRDefault="00596CDE" w:rsidP="00596CDE">
            <w:pPr>
              <w:pStyle w:val="GSPHeader1"/>
              <w:numPr>
                <w:ilvl w:val="0"/>
                <w:numId w:val="2"/>
              </w:numPr>
              <w:rPr>
                <w:rFonts w:asciiTheme="minorHAnsi" w:hAnsiTheme="minorHAnsi" w:cstheme="minorHAnsi"/>
                <w:b w:val="0"/>
                <w:bCs w:val="0"/>
                <w:caps w:val="0"/>
              </w:rPr>
            </w:pPr>
            <w:r w:rsidRPr="00596CDE">
              <w:rPr>
                <w:rFonts w:asciiTheme="minorHAnsi" w:hAnsiTheme="minorHAnsi" w:cstheme="minorHAnsi"/>
                <w:b w:val="0"/>
                <w:bCs w:val="0"/>
                <w:caps w:val="0"/>
              </w:rPr>
              <w:t>Fluency in Arabic and English. Knowledge of French is an asset.</w:t>
            </w:r>
          </w:p>
          <w:p w14:paraId="618B1730" w14:textId="368329B5" w:rsidR="00693DD6" w:rsidRPr="00D51933" w:rsidRDefault="00693DD6" w:rsidP="00596CDE">
            <w:pPr>
              <w:pStyle w:val="GSPHeader1"/>
              <w:numPr>
                <w:ilvl w:val="0"/>
                <w:numId w:val="2"/>
              </w:numPr>
              <w:rPr>
                <w:rFonts w:asciiTheme="minorHAnsi" w:hAnsiTheme="minorHAnsi" w:cstheme="minorHAnsi"/>
                <w:b w:val="0"/>
                <w:bCs w:val="0"/>
                <w:caps w:val="0"/>
              </w:rPr>
            </w:pPr>
            <w:r>
              <w:rPr>
                <w:rFonts w:asciiTheme="minorHAnsi" w:hAnsiTheme="minorHAnsi" w:cstheme="minorHAnsi"/>
                <w:b w:val="0"/>
                <w:bCs w:val="0"/>
                <w:caps w:val="0"/>
              </w:rPr>
              <w:t>Strong organisational and time management skill</w:t>
            </w:r>
            <w:r w:rsidR="000C55E0">
              <w:rPr>
                <w:rFonts w:asciiTheme="minorHAnsi" w:hAnsiTheme="minorHAnsi" w:cstheme="minorHAnsi"/>
                <w:b w:val="0"/>
                <w:bCs w:val="0"/>
                <w:caps w:val="0"/>
              </w:rPr>
              <w:t>s</w:t>
            </w:r>
          </w:p>
        </w:tc>
      </w:tr>
      <w:tr w:rsidR="00693DD6" w:rsidRPr="00D51933" w14:paraId="7F5480F2" w14:textId="77777777" w:rsidTr="00DC3585">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AE0DB93" w14:textId="177D997E" w:rsidR="00693DD6" w:rsidRPr="00D51933" w:rsidRDefault="00DC3585" w:rsidP="00DC3585">
            <w:pPr>
              <w:pStyle w:val="Paragraphedeliste"/>
              <w:ind w:left="0"/>
              <w:rPr>
                <w:rFonts w:asciiTheme="minorHAnsi" w:hAnsiTheme="minorHAnsi" w:cstheme="minorHAnsi"/>
                <w:b/>
                <w:sz w:val="22"/>
                <w:szCs w:val="22"/>
              </w:rPr>
            </w:pPr>
            <w:r>
              <w:rPr>
                <w:rFonts w:asciiTheme="minorHAnsi" w:hAnsiTheme="minorHAnsi" w:cstheme="minorHAnsi"/>
                <w:b/>
                <w:sz w:val="22"/>
                <w:szCs w:val="22"/>
              </w:rPr>
              <w:t>8.          O</w:t>
            </w:r>
            <w:r w:rsidR="005C7E8C">
              <w:rPr>
                <w:rFonts w:asciiTheme="minorHAnsi" w:hAnsiTheme="minorHAnsi" w:cstheme="minorHAnsi"/>
                <w:b/>
                <w:sz w:val="22"/>
                <w:szCs w:val="22"/>
              </w:rPr>
              <w:t>RGANIZATIONAL COMMITMENTS</w:t>
            </w:r>
          </w:p>
        </w:tc>
      </w:tr>
      <w:tr w:rsidR="00DC3585" w:rsidRPr="00D51933" w14:paraId="2996B13F"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AC5E74" w14:textId="658CC0B5" w:rsidR="005C7E8C" w:rsidRPr="00D4316F" w:rsidRDefault="005C7E8C" w:rsidP="005C7E8C">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Willingness to travel internationally</w:t>
            </w:r>
          </w:p>
          <w:p w14:paraId="13B07CA8" w14:textId="268E70E4" w:rsidR="005C7E8C" w:rsidRPr="00D4316F" w:rsidRDefault="005C7E8C" w:rsidP="005C7E8C">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 xml:space="preserve">Awareness of and sensitivity to the multi-cultural and diverse environment in which IPPF operates </w:t>
            </w:r>
          </w:p>
          <w:p w14:paraId="74AAFDE3" w14:textId="418DA622" w:rsidR="005C7E8C" w:rsidRPr="00D4316F" w:rsidRDefault="005C7E8C" w:rsidP="005C7E8C">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Supportive of a woman’s right to choose and have access to safe abortion services</w:t>
            </w:r>
          </w:p>
          <w:p w14:paraId="5EDAEAE5" w14:textId="15B545AB" w:rsidR="005C7E8C" w:rsidRPr="00D4316F" w:rsidRDefault="005C7E8C" w:rsidP="005C7E8C">
            <w:pPr>
              <w:widowControl w:val="0"/>
              <w:numPr>
                <w:ilvl w:val="0"/>
                <w:numId w:val="11"/>
              </w:numPr>
              <w:tabs>
                <w:tab w:val="left" w:pos="720"/>
              </w:tabs>
              <w:autoSpaceDE w:val="0"/>
              <w:autoSpaceDN w:val="0"/>
              <w:adjustRightInd w:val="0"/>
              <w:ind w:left="447" w:hanging="426"/>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Commitment to put equality, diversity and inclusion into practice</w:t>
            </w:r>
          </w:p>
          <w:p w14:paraId="67E3CF5A" w14:textId="24EF60AC" w:rsidR="00DC3585" w:rsidRPr="00DC3585" w:rsidRDefault="005C7E8C" w:rsidP="005C7E8C">
            <w:pPr>
              <w:pStyle w:val="Paragraphedeliste"/>
              <w:numPr>
                <w:ilvl w:val="0"/>
                <w:numId w:val="11"/>
              </w:numPr>
              <w:ind w:left="447" w:hanging="426"/>
              <w:rPr>
                <w:rFonts w:asciiTheme="minorHAnsi" w:hAnsiTheme="minorHAnsi" w:cstheme="minorHAnsi"/>
                <w:bCs/>
                <w:sz w:val="22"/>
                <w:szCs w:val="22"/>
              </w:rPr>
            </w:pPr>
            <w:r>
              <w:rPr>
                <w:rFonts w:asciiTheme="minorHAnsi" w:eastAsiaTheme="minorHAnsi" w:hAnsiTheme="minorHAnsi" w:cs="Times Roman"/>
                <w:color w:val="000000"/>
                <w:sz w:val="22"/>
                <w:szCs w:val="22"/>
                <w:lang w:val="en-US"/>
              </w:rPr>
              <w:t>U</w:t>
            </w:r>
            <w:r w:rsidRPr="00D4316F">
              <w:rPr>
                <w:rFonts w:asciiTheme="minorHAnsi" w:eastAsiaTheme="minorHAnsi" w:hAnsiTheme="minorHAnsi" w:cs="Times Roman"/>
                <w:color w:val="000000"/>
                <w:sz w:val="22"/>
                <w:szCs w:val="22"/>
                <w:lang w:val="en-US"/>
              </w:rPr>
              <w:t>nderstanding of and a commitment to safeguarding including child protection, in a local and international context</w:t>
            </w:r>
          </w:p>
        </w:tc>
      </w:tr>
    </w:tbl>
    <w:p w14:paraId="151A99E7" w14:textId="77777777" w:rsidR="009664DE" w:rsidRPr="00D51933" w:rsidRDefault="009664DE" w:rsidP="009664DE">
      <w:pPr>
        <w:rPr>
          <w:rFonts w:asciiTheme="minorHAnsi" w:eastAsiaTheme="majorEastAsia" w:hAnsiTheme="minorHAnsi" w:cstheme="minorHAnsi"/>
          <w:b/>
          <w:sz w:val="22"/>
          <w:szCs w:val="22"/>
        </w:rPr>
      </w:pPr>
    </w:p>
    <w:p w14:paraId="388EE87E" w14:textId="77777777" w:rsidR="009B3348" w:rsidRPr="00D51933" w:rsidRDefault="009B3348">
      <w:pPr>
        <w:rPr>
          <w:rFonts w:asciiTheme="minorHAnsi" w:hAnsiTheme="minorHAnsi" w:cstheme="minorHAnsi"/>
          <w:sz w:val="22"/>
          <w:szCs w:val="22"/>
        </w:rPr>
      </w:pPr>
    </w:p>
    <w:sectPr w:rsidR="009B3348" w:rsidRPr="00D51933" w:rsidSect="009664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DA7A" w14:textId="77777777" w:rsidR="00751349" w:rsidRDefault="00751349" w:rsidP="001C6FB8">
      <w:r>
        <w:separator/>
      </w:r>
    </w:p>
  </w:endnote>
  <w:endnote w:type="continuationSeparator" w:id="0">
    <w:p w14:paraId="186CDF27" w14:textId="77777777" w:rsidR="00751349" w:rsidRDefault="00751349" w:rsidP="001C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973" w14:textId="0F214671" w:rsidR="00520A5E" w:rsidRDefault="00520A5E">
    <w:pPr>
      <w:pStyle w:val="Pieddepage"/>
      <w:jc w:val="right"/>
    </w:pPr>
  </w:p>
  <w:sdt>
    <w:sdtPr>
      <w:id w:val="-1046759085"/>
      <w:docPartObj>
        <w:docPartGallery w:val="Page Numbers (Bottom of Page)"/>
        <w:docPartUnique/>
      </w:docPartObj>
    </w:sdtPr>
    <w:sdtEndPr>
      <w:rPr>
        <w:noProof/>
      </w:rPr>
    </w:sdtEndPr>
    <w:sdtContent>
      <w:p w14:paraId="471A8374" w14:textId="3F6B8AF9" w:rsidR="00FC6379" w:rsidRPr="003B724B" w:rsidRDefault="00FC6379" w:rsidP="00596CDE">
        <w:pPr>
          <w:pStyle w:val="En-tte"/>
          <w:tabs>
            <w:tab w:val="right" w:pos="9000"/>
          </w:tabs>
          <w:jc w:val="center"/>
        </w:pPr>
        <w:r>
          <w:rPr>
            <w:rFonts w:ascii="Arial" w:hAnsi="Arial" w:cs="Arial"/>
            <w:sz w:val="16"/>
          </w:rPr>
          <w:t>IPPF_AWRO _Job description</w:t>
        </w:r>
        <w:r>
          <w:rPr>
            <w:rFonts w:ascii="Arial" w:hAnsi="Arial" w:cs="Arial"/>
            <w:sz w:val="16"/>
          </w:rPr>
          <w:tab/>
        </w:r>
        <w:r>
          <w:rPr>
            <w:rFonts w:ascii="Arial" w:hAnsi="Arial" w:cs="Arial"/>
            <w:sz w:val="16"/>
          </w:rPr>
          <w:tab/>
          <w:t xml:space="preserve">       </w:t>
        </w:r>
        <w:r w:rsidR="00596CDE">
          <w:rPr>
            <w:rFonts w:ascii="Arial" w:hAnsi="Arial" w:cs="Arial"/>
            <w:sz w:val="16"/>
          </w:rPr>
          <w:t>February 2021</w:t>
        </w:r>
      </w:p>
      <w:p w14:paraId="6655E81A" w14:textId="6B11323D" w:rsidR="00520A5E" w:rsidRDefault="00164EB5" w:rsidP="00FC6379">
        <w:pPr>
          <w:pStyle w:val="Pieddepage"/>
          <w:jc w:val="right"/>
          <w:rPr>
            <w:noProof/>
          </w:rPr>
        </w:pPr>
        <w:sdt>
          <w:sdtPr>
            <w:id w:val="1400016581"/>
            <w:docPartObj>
              <w:docPartGallery w:val="Page Numbers (Bottom of Page)"/>
              <w:docPartUnique/>
            </w:docPartObj>
          </w:sdtPr>
          <w:sdtEndPr>
            <w:rPr>
              <w:noProof/>
            </w:rPr>
          </w:sdtEndPr>
          <w:sdtContent>
            <w:r w:rsidR="00FC6379">
              <w:fldChar w:fldCharType="begin"/>
            </w:r>
            <w:r w:rsidR="00FC6379">
              <w:instrText xml:space="preserve"> PAGE   \* MERGEFORMAT </w:instrText>
            </w:r>
            <w:r w:rsidR="00FC6379">
              <w:fldChar w:fldCharType="separate"/>
            </w:r>
            <w:r w:rsidR="00061631">
              <w:rPr>
                <w:noProof/>
              </w:rPr>
              <w:t>2</w:t>
            </w:r>
            <w:r w:rsidR="00FC6379">
              <w:rPr>
                <w:noProof/>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C73B" w14:textId="77777777" w:rsidR="00751349" w:rsidRDefault="00751349" w:rsidP="001C6FB8">
      <w:r>
        <w:separator/>
      </w:r>
    </w:p>
  </w:footnote>
  <w:footnote w:type="continuationSeparator" w:id="0">
    <w:p w14:paraId="3E0F575E" w14:textId="77777777" w:rsidR="00751349" w:rsidRDefault="00751349" w:rsidP="001C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722D"/>
    <w:multiLevelType w:val="hybridMultilevel"/>
    <w:tmpl w:val="143ED3C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17263187"/>
    <w:multiLevelType w:val="hybridMultilevel"/>
    <w:tmpl w:val="683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C5FC9"/>
    <w:multiLevelType w:val="hybridMultilevel"/>
    <w:tmpl w:val="DB84F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E07D2"/>
    <w:multiLevelType w:val="hybridMultilevel"/>
    <w:tmpl w:val="5190618A"/>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DF42EE7"/>
    <w:multiLevelType w:val="hybridMultilevel"/>
    <w:tmpl w:val="38323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1608BE"/>
    <w:multiLevelType w:val="hybridMultilevel"/>
    <w:tmpl w:val="3FE216B6"/>
    <w:lvl w:ilvl="0" w:tplc="0809000F">
      <w:start w:val="1"/>
      <w:numFmt w:val="decimal"/>
      <w:lvlText w:val="%1."/>
      <w:lvlJc w:val="left"/>
      <w:pPr>
        <w:tabs>
          <w:tab w:val="num" w:pos="360"/>
        </w:tabs>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1EA715B"/>
    <w:multiLevelType w:val="hybridMultilevel"/>
    <w:tmpl w:val="75908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A38F7"/>
    <w:multiLevelType w:val="hybridMultilevel"/>
    <w:tmpl w:val="B9F6B31C"/>
    <w:lvl w:ilvl="0" w:tplc="3F9A7D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F580C"/>
    <w:multiLevelType w:val="hybridMultilevel"/>
    <w:tmpl w:val="1DCA183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6C1FC0"/>
    <w:multiLevelType w:val="hybridMultilevel"/>
    <w:tmpl w:val="61FEBB36"/>
    <w:lvl w:ilvl="0" w:tplc="1F5C5A3A">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FC1104"/>
    <w:multiLevelType w:val="hybridMultilevel"/>
    <w:tmpl w:val="03D8E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75FD0"/>
    <w:multiLevelType w:val="hybridMultilevel"/>
    <w:tmpl w:val="E7C067D4"/>
    <w:lvl w:ilvl="0" w:tplc="D50A5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2"/>
  </w:num>
  <w:num w:numId="5">
    <w:abstractNumId w:val="7"/>
  </w:num>
  <w:num w:numId="6">
    <w:abstractNumId w:val="6"/>
  </w:num>
  <w:num w:numId="7">
    <w:abstractNumId w:val="11"/>
  </w:num>
  <w:num w:numId="8">
    <w:abstractNumId w:val="9"/>
  </w:num>
  <w:num w:numId="9">
    <w:abstractNumId w:val="10"/>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7"/>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4DE"/>
    <w:rsid w:val="00020696"/>
    <w:rsid w:val="00061631"/>
    <w:rsid w:val="000C55E0"/>
    <w:rsid w:val="000D1928"/>
    <w:rsid w:val="00134A09"/>
    <w:rsid w:val="00164EB5"/>
    <w:rsid w:val="001C6FB8"/>
    <w:rsid w:val="001D53BA"/>
    <w:rsid w:val="00216240"/>
    <w:rsid w:val="00242DCB"/>
    <w:rsid w:val="00253591"/>
    <w:rsid w:val="002D6E21"/>
    <w:rsid w:val="003569A4"/>
    <w:rsid w:val="00520A5E"/>
    <w:rsid w:val="00574C1F"/>
    <w:rsid w:val="00596CDE"/>
    <w:rsid w:val="005C7E8C"/>
    <w:rsid w:val="00693DD6"/>
    <w:rsid w:val="006D2F4C"/>
    <w:rsid w:val="00751349"/>
    <w:rsid w:val="007D7008"/>
    <w:rsid w:val="007E5D5B"/>
    <w:rsid w:val="00865017"/>
    <w:rsid w:val="008F1E2C"/>
    <w:rsid w:val="009664DE"/>
    <w:rsid w:val="009B3348"/>
    <w:rsid w:val="009D013E"/>
    <w:rsid w:val="00A677F7"/>
    <w:rsid w:val="00A86E39"/>
    <w:rsid w:val="00C05EBD"/>
    <w:rsid w:val="00C2306E"/>
    <w:rsid w:val="00C93339"/>
    <w:rsid w:val="00D4493E"/>
    <w:rsid w:val="00D51933"/>
    <w:rsid w:val="00DC3585"/>
    <w:rsid w:val="00E762A3"/>
    <w:rsid w:val="00F545CD"/>
    <w:rsid w:val="00F636D7"/>
    <w:rsid w:val="00FC6379"/>
    <w:rsid w:val="00FC69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DD7A"/>
  <w15:chartTrackingRefBased/>
  <w15:docId w15:val="{6599EF2E-5802-444B-9691-9E82ED6E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4DE"/>
    <w:pPr>
      <w:spacing w:after="0" w:line="240" w:lineRule="auto"/>
    </w:pPr>
    <w:rPr>
      <w:rFonts w:ascii="Tahoma" w:eastAsia="MS Mincho" w:hAnsi="Tahoma" w:cs="Tahoma"/>
      <w:sz w:val="24"/>
      <w:szCs w:val="24"/>
    </w:rPr>
  </w:style>
  <w:style w:type="paragraph" w:styleId="Titre1">
    <w:name w:val="heading 1"/>
    <w:basedOn w:val="Normal"/>
    <w:next w:val="Normal"/>
    <w:link w:val="Titre1Car"/>
    <w:uiPriority w:val="9"/>
    <w:qFormat/>
    <w:rsid w:val="009664D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64DE"/>
    <w:rPr>
      <w:rFonts w:asciiTheme="majorHAnsi" w:eastAsiaTheme="majorEastAsia" w:hAnsiTheme="majorHAnsi" w:cstheme="majorBidi"/>
      <w:b/>
      <w:bCs/>
      <w:color w:val="2F5496" w:themeColor="accent1" w:themeShade="BF"/>
      <w:sz w:val="28"/>
      <w:szCs w:val="28"/>
    </w:rPr>
  </w:style>
  <w:style w:type="paragraph" w:styleId="En-tte">
    <w:name w:val="header"/>
    <w:basedOn w:val="Normal"/>
    <w:link w:val="En-tteCar"/>
    <w:rsid w:val="009664DE"/>
    <w:pPr>
      <w:tabs>
        <w:tab w:val="center" w:pos="4153"/>
        <w:tab w:val="right" w:pos="8306"/>
      </w:tabs>
    </w:pPr>
  </w:style>
  <w:style w:type="character" w:customStyle="1" w:styleId="En-tteCar">
    <w:name w:val="En-tête Car"/>
    <w:basedOn w:val="Policepardfaut"/>
    <w:link w:val="En-tte"/>
    <w:rsid w:val="009664DE"/>
    <w:rPr>
      <w:rFonts w:ascii="Tahoma" w:eastAsia="MS Mincho" w:hAnsi="Tahoma" w:cs="Tahoma"/>
      <w:sz w:val="24"/>
      <w:szCs w:val="24"/>
    </w:rPr>
  </w:style>
  <w:style w:type="paragraph" w:styleId="Paragraphedeliste">
    <w:name w:val="List Paragraph"/>
    <w:basedOn w:val="Normal"/>
    <w:uiPriority w:val="34"/>
    <w:qFormat/>
    <w:rsid w:val="009664DE"/>
    <w:pPr>
      <w:ind w:left="720"/>
      <w:contextualSpacing/>
    </w:pPr>
  </w:style>
  <w:style w:type="paragraph" w:styleId="Sansinterligne">
    <w:name w:val="No Spacing"/>
    <w:uiPriority w:val="1"/>
    <w:qFormat/>
    <w:rsid w:val="009664DE"/>
    <w:pPr>
      <w:spacing w:after="0" w:line="240" w:lineRule="auto"/>
      <w:jc w:val="both"/>
    </w:pPr>
    <w:rPr>
      <w:rFonts w:ascii="Times New Roman" w:eastAsia="Times New Roman" w:hAnsi="Times New Roman" w:cs="Times New Roman"/>
      <w:sz w:val="24"/>
      <w:szCs w:val="20"/>
    </w:rPr>
  </w:style>
  <w:style w:type="paragraph" w:customStyle="1" w:styleId="GSPHeader1">
    <w:name w:val="GSP Header1"/>
    <w:basedOn w:val="Normal"/>
    <w:link w:val="GSPHeader1Char"/>
    <w:uiPriority w:val="99"/>
    <w:rsid w:val="009664DE"/>
    <w:pPr>
      <w:widowControl w:val="0"/>
      <w:autoSpaceDE w:val="0"/>
      <w:autoSpaceDN w:val="0"/>
      <w:adjustRightInd w:val="0"/>
      <w:spacing w:line="260" w:lineRule="atLeast"/>
      <w:jc w:val="both"/>
    </w:pPr>
    <w:rPr>
      <w:rFonts w:ascii="Times New Roman" w:eastAsia="Times New Roman" w:hAnsi="Times New Roman" w:cs="Times New Roman"/>
      <w:b/>
      <w:bCs/>
      <w:caps/>
      <w:sz w:val="22"/>
      <w:szCs w:val="22"/>
    </w:rPr>
  </w:style>
  <w:style w:type="character" w:customStyle="1" w:styleId="GSPHeader1Char">
    <w:name w:val="GSP Header1 Char"/>
    <w:link w:val="GSPHeader1"/>
    <w:uiPriority w:val="99"/>
    <w:locked/>
    <w:rsid w:val="009664DE"/>
    <w:rPr>
      <w:rFonts w:ascii="Times New Roman" w:eastAsia="Times New Roman" w:hAnsi="Times New Roman" w:cs="Times New Roman"/>
      <w:b/>
      <w:bCs/>
      <w:caps/>
    </w:rPr>
  </w:style>
  <w:style w:type="paragraph" w:styleId="Notedebasdepage">
    <w:name w:val="footnote text"/>
    <w:basedOn w:val="Normal"/>
    <w:link w:val="NotedebasdepageCar"/>
    <w:uiPriority w:val="99"/>
    <w:unhideWhenUsed/>
    <w:rsid w:val="001C6FB8"/>
    <w:rPr>
      <w:rFonts w:asciiTheme="minorHAnsi" w:eastAsiaTheme="minorEastAsia" w:hAnsiTheme="minorHAnsi" w:cstheme="minorBidi"/>
    </w:rPr>
  </w:style>
  <w:style w:type="character" w:customStyle="1" w:styleId="NotedebasdepageCar">
    <w:name w:val="Note de bas de page Car"/>
    <w:basedOn w:val="Policepardfaut"/>
    <w:link w:val="Notedebasdepage"/>
    <w:uiPriority w:val="99"/>
    <w:rsid w:val="001C6FB8"/>
    <w:rPr>
      <w:rFonts w:eastAsiaTheme="minorEastAsia"/>
      <w:sz w:val="24"/>
      <w:szCs w:val="24"/>
    </w:rPr>
  </w:style>
  <w:style w:type="character" w:styleId="Appelnotedebasdep">
    <w:name w:val="footnote reference"/>
    <w:basedOn w:val="Policepardfaut"/>
    <w:uiPriority w:val="99"/>
    <w:unhideWhenUsed/>
    <w:rsid w:val="001C6FB8"/>
    <w:rPr>
      <w:vertAlign w:val="superscript"/>
    </w:rPr>
  </w:style>
  <w:style w:type="paragraph" w:styleId="Pieddepage">
    <w:name w:val="footer"/>
    <w:basedOn w:val="Normal"/>
    <w:link w:val="PieddepageCar"/>
    <w:uiPriority w:val="99"/>
    <w:unhideWhenUsed/>
    <w:rsid w:val="00520A5E"/>
    <w:pPr>
      <w:tabs>
        <w:tab w:val="center" w:pos="4513"/>
        <w:tab w:val="right" w:pos="9026"/>
      </w:tabs>
    </w:pPr>
  </w:style>
  <w:style w:type="character" w:customStyle="1" w:styleId="PieddepageCar">
    <w:name w:val="Pied de page Car"/>
    <w:basedOn w:val="Policepardfaut"/>
    <w:link w:val="Pieddepage"/>
    <w:uiPriority w:val="99"/>
    <w:rsid w:val="00520A5E"/>
    <w:rPr>
      <w:rFonts w:ascii="Tahoma" w:eastAsia="MS Mincho"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Bennour</dc:creator>
  <cp:keywords/>
  <dc:description/>
  <cp:lastModifiedBy>Lamia Grar</cp:lastModifiedBy>
  <cp:revision>2</cp:revision>
  <dcterms:created xsi:type="dcterms:W3CDTF">2022-03-06T10:42:00Z</dcterms:created>
  <dcterms:modified xsi:type="dcterms:W3CDTF">2022-03-06T10:42:00Z</dcterms:modified>
</cp:coreProperties>
</file>