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CC35D" w14:textId="77777777" w:rsidR="005233BA" w:rsidRPr="00051259" w:rsidRDefault="005233BA" w:rsidP="005233BA">
      <w:pPr>
        <w:shd w:val="clear" w:color="auto" w:fill="4F81BD" w:themeFill="accent1"/>
        <w:jc w:val="center"/>
        <w:rPr>
          <w:rFonts w:cstheme="minorHAnsi"/>
          <w:b/>
          <w:color w:val="FFFFFF" w:themeColor="background1"/>
          <w:sz w:val="32"/>
          <w:szCs w:val="32"/>
        </w:rPr>
      </w:pPr>
      <w:r w:rsidRPr="00051259">
        <w:rPr>
          <w:rFonts w:cstheme="minorHAnsi"/>
          <w:b/>
          <w:color w:val="FFFFFF" w:themeColor="background1"/>
          <w:sz w:val="32"/>
          <w:szCs w:val="32"/>
        </w:rPr>
        <w:t xml:space="preserve">Programme de </w:t>
      </w:r>
      <w:proofErr w:type="spellStart"/>
      <w:r w:rsidRPr="00051259">
        <w:rPr>
          <w:rFonts w:cstheme="minorHAnsi"/>
          <w:b/>
          <w:color w:val="FFFFFF" w:themeColor="background1"/>
          <w:sz w:val="32"/>
          <w:szCs w:val="32"/>
        </w:rPr>
        <w:t>Microfinancements</w:t>
      </w:r>
      <w:proofErr w:type="spellEnd"/>
      <w:r w:rsidRPr="00051259">
        <w:rPr>
          <w:rFonts w:cstheme="minorHAnsi"/>
          <w:b/>
          <w:color w:val="FFFFFF" w:themeColor="background1"/>
          <w:sz w:val="32"/>
          <w:szCs w:val="32"/>
        </w:rPr>
        <w:t xml:space="preserve"> du Fonds pour l’Environnemen</w:t>
      </w:r>
      <w:r w:rsidR="00FE170C" w:rsidRPr="00051259">
        <w:rPr>
          <w:rFonts w:cstheme="minorHAnsi"/>
          <w:b/>
          <w:color w:val="FFFFFF" w:themeColor="background1"/>
          <w:sz w:val="32"/>
          <w:szCs w:val="32"/>
        </w:rPr>
        <w:t>t Mondial – PMF FEM / PNUD Tunisie</w:t>
      </w:r>
      <w:r w:rsidRPr="00051259">
        <w:rPr>
          <w:rFonts w:cstheme="minorHAnsi"/>
          <w:b/>
          <w:color w:val="FFFFFF" w:themeColor="background1"/>
          <w:sz w:val="32"/>
          <w:szCs w:val="32"/>
        </w:rPr>
        <w:t xml:space="preserve"> </w:t>
      </w:r>
    </w:p>
    <w:p w14:paraId="5B8F843A" w14:textId="1261E6CA" w:rsidR="0077581A" w:rsidRPr="00051259" w:rsidRDefault="0077581A" w:rsidP="00912512">
      <w:pPr>
        <w:jc w:val="center"/>
        <w:rPr>
          <w:rFonts w:cstheme="minorHAnsi"/>
          <w:b/>
          <w:sz w:val="28"/>
          <w:szCs w:val="28"/>
        </w:rPr>
      </w:pPr>
      <w:r w:rsidRPr="00051259">
        <w:rPr>
          <w:rFonts w:cstheme="minorHAnsi"/>
          <w:b/>
          <w:sz w:val="28"/>
          <w:szCs w:val="28"/>
        </w:rPr>
        <w:t xml:space="preserve">Appel à </w:t>
      </w:r>
      <w:r w:rsidR="00913973">
        <w:rPr>
          <w:rFonts w:cstheme="minorHAnsi"/>
          <w:b/>
          <w:sz w:val="28"/>
          <w:szCs w:val="28"/>
        </w:rPr>
        <w:t>projets 2019</w:t>
      </w:r>
      <w:r w:rsidR="00D86748" w:rsidRPr="00051259">
        <w:rPr>
          <w:rFonts w:cstheme="minorHAnsi"/>
          <w:b/>
          <w:sz w:val="28"/>
          <w:szCs w:val="28"/>
        </w:rPr>
        <w:t xml:space="preserve"> </w:t>
      </w:r>
      <w:r w:rsidR="005233BA" w:rsidRPr="00051259">
        <w:rPr>
          <w:rFonts w:cstheme="minorHAnsi"/>
          <w:b/>
          <w:sz w:val="28"/>
          <w:szCs w:val="28"/>
        </w:rPr>
        <w:t>- 6ème phase opérationnelle</w:t>
      </w:r>
      <w:r w:rsidR="00913973">
        <w:rPr>
          <w:rFonts w:cstheme="minorHAnsi"/>
          <w:b/>
          <w:sz w:val="28"/>
          <w:szCs w:val="28"/>
        </w:rPr>
        <w:t xml:space="preserve">-deuxième appel </w:t>
      </w:r>
    </w:p>
    <w:p w14:paraId="2BD07CD0" w14:textId="77777777" w:rsidR="006A0BCD" w:rsidRPr="00051259" w:rsidRDefault="006A0BCD" w:rsidP="008653F6">
      <w:pPr>
        <w:jc w:val="both"/>
        <w:rPr>
          <w:rFonts w:cstheme="minorHAnsi"/>
        </w:rPr>
      </w:pPr>
    </w:p>
    <w:p w14:paraId="785105EF" w14:textId="50DF922C" w:rsidR="006D667E" w:rsidRPr="00051259" w:rsidRDefault="00743A93" w:rsidP="00912512">
      <w:pPr>
        <w:jc w:val="both"/>
        <w:rPr>
          <w:rFonts w:cstheme="minorHAnsi"/>
        </w:rPr>
      </w:pPr>
      <w:r>
        <w:rPr>
          <w:rFonts w:cstheme="minorHAnsi"/>
        </w:rPr>
        <w:t xml:space="preserve">Le dossier de </w:t>
      </w:r>
      <w:r w:rsidR="00912512">
        <w:rPr>
          <w:rFonts w:cstheme="minorHAnsi"/>
        </w:rPr>
        <w:t>c</w:t>
      </w:r>
      <w:r w:rsidR="006D667E" w:rsidRPr="00051259">
        <w:rPr>
          <w:rFonts w:cstheme="minorHAnsi"/>
        </w:rPr>
        <w:t>et appel à projet</w:t>
      </w:r>
      <w:r w:rsidR="00133766" w:rsidRPr="00051259">
        <w:rPr>
          <w:rFonts w:cstheme="minorHAnsi"/>
        </w:rPr>
        <w:t>s</w:t>
      </w:r>
      <w:r w:rsidR="006D667E" w:rsidRPr="00051259">
        <w:rPr>
          <w:rFonts w:cstheme="minorHAnsi"/>
        </w:rPr>
        <w:t xml:space="preserve"> est composé du texte </w:t>
      </w:r>
      <w:r w:rsidR="00133766" w:rsidRPr="00051259">
        <w:rPr>
          <w:rFonts w:cstheme="minorHAnsi"/>
        </w:rPr>
        <w:t>ci-dessous</w:t>
      </w:r>
      <w:r w:rsidR="006D667E" w:rsidRPr="00051259">
        <w:rPr>
          <w:rFonts w:cstheme="minorHAnsi"/>
        </w:rPr>
        <w:t xml:space="preserve"> et de</w:t>
      </w:r>
      <w:r w:rsidR="0000119E" w:rsidRPr="00051259">
        <w:rPr>
          <w:rFonts w:cstheme="minorHAnsi"/>
        </w:rPr>
        <w:t xml:space="preserve"> l’annexe1</w:t>
      </w:r>
      <w:r w:rsidR="006D667E" w:rsidRPr="00051259">
        <w:rPr>
          <w:rFonts w:cstheme="minorHAnsi"/>
        </w:rPr>
        <w:t xml:space="preserve"> </w:t>
      </w:r>
      <w:r w:rsidR="0000119E" w:rsidRPr="00051259">
        <w:rPr>
          <w:rFonts w:cstheme="minorHAnsi"/>
        </w:rPr>
        <w:t>Formulaire de projet qui fai</w:t>
      </w:r>
      <w:r w:rsidR="006D667E" w:rsidRPr="00051259">
        <w:rPr>
          <w:rFonts w:cstheme="minorHAnsi"/>
        </w:rPr>
        <w:t xml:space="preserve">t partie intégrale de </w:t>
      </w:r>
      <w:r w:rsidR="008653F6" w:rsidRPr="00051259">
        <w:rPr>
          <w:rFonts w:cstheme="minorHAnsi"/>
        </w:rPr>
        <w:t>l’</w:t>
      </w:r>
      <w:r w:rsidR="006D667E" w:rsidRPr="00051259">
        <w:rPr>
          <w:rFonts w:cstheme="minorHAnsi"/>
        </w:rPr>
        <w:t>appel </w:t>
      </w:r>
      <w:r w:rsidR="008653F6" w:rsidRPr="00051259">
        <w:rPr>
          <w:rFonts w:cstheme="minorHAnsi"/>
        </w:rPr>
        <w:t xml:space="preserve">à </w:t>
      </w:r>
      <w:r w:rsidR="00CE1C52" w:rsidRPr="00051259">
        <w:rPr>
          <w:rFonts w:cstheme="minorHAnsi"/>
        </w:rPr>
        <w:t>projets :</w:t>
      </w:r>
    </w:p>
    <w:p w14:paraId="575DA1E0" w14:textId="77777777" w:rsidR="00133766" w:rsidRPr="00051259" w:rsidRDefault="00E9014C" w:rsidP="00A6717E">
      <w:pPr>
        <w:rPr>
          <w:rFonts w:cstheme="minorHAnsi"/>
          <w:bCs/>
          <w:sz w:val="24"/>
          <w:szCs w:val="24"/>
        </w:rPr>
      </w:pPr>
      <w:r w:rsidRPr="00051259">
        <w:rPr>
          <w:rFonts w:cstheme="minorHAnsi"/>
          <w:b/>
          <w:sz w:val="24"/>
          <w:szCs w:val="24"/>
        </w:rPr>
        <w:t xml:space="preserve">Date de lancement de l’appel à projets : </w:t>
      </w:r>
      <w:r w:rsidR="0000119E" w:rsidRPr="008C40E4">
        <w:rPr>
          <w:rFonts w:cstheme="minorHAnsi"/>
          <w:bCs/>
          <w:sz w:val="24"/>
          <w:szCs w:val="24"/>
        </w:rPr>
        <w:t>2</w:t>
      </w:r>
      <w:r w:rsidR="008C40E4" w:rsidRPr="008C40E4">
        <w:rPr>
          <w:rFonts w:cstheme="minorHAnsi"/>
          <w:bCs/>
          <w:sz w:val="24"/>
          <w:szCs w:val="24"/>
        </w:rPr>
        <w:t>0</w:t>
      </w:r>
      <w:r w:rsidR="00913973" w:rsidRPr="008C40E4">
        <w:rPr>
          <w:rFonts w:cstheme="minorHAnsi"/>
          <w:bCs/>
          <w:sz w:val="24"/>
          <w:szCs w:val="24"/>
        </w:rPr>
        <w:t xml:space="preserve"> mai 2019</w:t>
      </w:r>
    </w:p>
    <w:p w14:paraId="3E17F88D" w14:textId="6065C29E" w:rsidR="00133766" w:rsidRPr="00051259" w:rsidRDefault="00E9014C" w:rsidP="00C67607">
      <w:pPr>
        <w:rPr>
          <w:rFonts w:cstheme="minorHAnsi"/>
          <w:bCs/>
          <w:sz w:val="24"/>
          <w:szCs w:val="24"/>
        </w:rPr>
      </w:pPr>
      <w:r w:rsidRPr="00051259">
        <w:rPr>
          <w:rFonts w:cstheme="minorHAnsi"/>
          <w:b/>
          <w:sz w:val="24"/>
          <w:szCs w:val="24"/>
        </w:rPr>
        <w:t xml:space="preserve">Date de </w:t>
      </w:r>
      <w:r w:rsidR="00CE1C52" w:rsidRPr="00051259">
        <w:rPr>
          <w:rFonts w:cstheme="minorHAnsi"/>
          <w:b/>
          <w:sz w:val="24"/>
          <w:szCs w:val="24"/>
        </w:rPr>
        <w:t>clôture :</w:t>
      </w:r>
      <w:r w:rsidRPr="00051259">
        <w:rPr>
          <w:rFonts w:cstheme="minorHAnsi"/>
          <w:b/>
          <w:sz w:val="24"/>
          <w:szCs w:val="24"/>
        </w:rPr>
        <w:t xml:space="preserve"> </w:t>
      </w:r>
      <w:r w:rsidR="008C40E4" w:rsidRPr="008C40E4">
        <w:rPr>
          <w:rFonts w:cstheme="minorHAnsi"/>
          <w:bCs/>
          <w:sz w:val="24"/>
          <w:szCs w:val="24"/>
        </w:rPr>
        <w:t>30</w:t>
      </w:r>
      <w:r w:rsidRPr="008C40E4">
        <w:rPr>
          <w:rFonts w:cstheme="minorHAnsi"/>
          <w:bCs/>
          <w:sz w:val="24"/>
          <w:szCs w:val="24"/>
        </w:rPr>
        <w:t xml:space="preserve"> </w:t>
      </w:r>
      <w:r w:rsidR="008C40E4" w:rsidRPr="008C40E4">
        <w:rPr>
          <w:rFonts w:cstheme="minorHAnsi"/>
          <w:bCs/>
          <w:sz w:val="24"/>
          <w:szCs w:val="24"/>
        </w:rPr>
        <w:t>Juin</w:t>
      </w:r>
      <w:r w:rsidRPr="008C40E4">
        <w:rPr>
          <w:rFonts w:cstheme="minorHAnsi"/>
          <w:bCs/>
          <w:sz w:val="24"/>
          <w:szCs w:val="24"/>
        </w:rPr>
        <w:t xml:space="preserve"> 201</w:t>
      </w:r>
      <w:r w:rsidR="008C40E4" w:rsidRPr="008C40E4">
        <w:rPr>
          <w:rFonts w:cstheme="minorHAnsi"/>
          <w:bCs/>
          <w:sz w:val="24"/>
          <w:szCs w:val="24"/>
        </w:rPr>
        <w:t>9</w:t>
      </w:r>
      <w:r w:rsidR="00C67607">
        <w:rPr>
          <w:rFonts w:cstheme="minorHAnsi"/>
          <w:bCs/>
          <w:sz w:val="24"/>
          <w:szCs w:val="24"/>
        </w:rPr>
        <w:t xml:space="preserve"> à 16</w:t>
      </w:r>
      <w:r w:rsidRPr="008C40E4">
        <w:rPr>
          <w:rFonts w:cstheme="minorHAnsi"/>
          <w:bCs/>
          <w:sz w:val="24"/>
          <w:szCs w:val="24"/>
        </w:rPr>
        <w:t>H00</w:t>
      </w:r>
      <w:r w:rsidR="00A910E3">
        <w:rPr>
          <w:rFonts w:cstheme="minorHAnsi"/>
          <w:bCs/>
          <w:sz w:val="24"/>
          <w:szCs w:val="24"/>
        </w:rPr>
        <w:t xml:space="preserve"> (voir Formulaire)</w:t>
      </w:r>
    </w:p>
    <w:p w14:paraId="38A6FB76" w14:textId="77777777" w:rsidR="00CF2783" w:rsidRPr="00051259" w:rsidRDefault="00CF2783" w:rsidP="00133766">
      <w:pPr>
        <w:rPr>
          <w:rFonts w:cstheme="minorHAnsi"/>
          <w:b/>
          <w:sz w:val="24"/>
          <w:szCs w:val="24"/>
        </w:rPr>
      </w:pPr>
    </w:p>
    <w:p w14:paraId="7909A738" w14:textId="77777777" w:rsidR="00356815" w:rsidRPr="00051259" w:rsidRDefault="00E9014C" w:rsidP="001250B0">
      <w:pPr>
        <w:shd w:val="clear" w:color="auto" w:fill="FFCCFF"/>
        <w:rPr>
          <w:rFonts w:cstheme="minorHAnsi"/>
          <w:b/>
          <w:sz w:val="24"/>
          <w:szCs w:val="24"/>
          <w:u w:val="single"/>
        </w:rPr>
      </w:pPr>
      <w:r w:rsidRPr="00051259">
        <w:rPr>
          <w:rFonts w:cstheme="minorHAnsi"/>
          <w:b/>
          <w:sz w:val="24"/>
          <w:szCs w:val="24"/>
          <w:u w:val="single"/>
        </w:rPr>
        <w:t>I. Contexte:</w:t>
      </w:r>
    </w:p>
    <w:p w14:paraId="026108E2" w14:textId="0D6EB9EE" w:rsidR="00A975B8" w:rsidRPr="00051259" w:rsidRDefault="00E9014C" w:rsidP="00EE2A85">
      <w:pPr>
        <w:spacing w:after="0" w:line="280" w:lineRule="exact"/>
        <w:jc w:val="both"/>
        <w:rPr>
          <w:rFonts w:cstheme="minorHAnsi"/>
          <w:sz w:val="24"/>
          <w:szCs w:val="24"/>
        </w:rPr>
      </w:pPr>
      <w:r w:rsidRPr="00051259">
        <w:rPr>
          <w:rFonts w:cstheme="minorHAnsi"/>
          <w:sz w:val="24"/>
          <w:szCs w:val="24"/>
        </w:rPr>
        <w:t>Le Programme de Micro</w:t>
      </w:r>
      <w:r w:rsidR="00A06C19">
        <w:rPr>
          <w:rFonts w:cstheme="minorHAnsi"/>
          <w:sz w:val="24"/>
          <w:szCs w:val="24"/>
        </w:rPr>
        <w:t xml:space="preserve"> F</w:t>
      </w:r>
      <w:r w:rsidRPr="00051259">
        <w:rPr>
          <w:rFonts w:cstheme="minorHAnsi"/>
          <w:sz w:val="24"/>
          <w:szCs w:val="24"/>
        </w:rPr>
        <w:t>inancements (PMF) du Fonds pour l’Environnement Mondial (FEM) fournit aux organisations non gouvernementales et aux organisations communautaires de bases (ONG / OCB) dans les pays en développement des subventions pour leur permettre de relever les défis</w:t>
      </w:r>
      <w:r w:rsidRPr="00051259">
        <w:rPr>
          <w:rStyle w:val="Appelnotedebasdep"/>
          <w:rFonts w:cstheme="minorHAnsi"/>
          <w:sz w:val="24"/>
          <w:szCs w:val="24"/>
        </w:rPr>
        <w:footnoteReference w:id="1"/>
      </w:r>
      <w:r w:rsidRPr="00051259">
        <w:rPr>
          <w:rFonts w:cstheme="minorHAnsi"/>
          <w:sz w:val="24"/>
          <w:szCs w:val="24"/>
        </w:rPr>
        <w:t xml:space="preserve"> environnementaux mondiaux, tout en répondant aux besoins locaux de développement durable. </w:t>
      </w:r>
    </w:p>
    <w:p w14:paraId="5F9E6B31" w14:textId="77777777" w:rsidR="00EE2A85" w:rsidRPr="00051259" w:rsidRDefault="00EE2A85" w:rsidP="00EE2A85">
      <w:pPr>
        <w:spacing w:after="0" w:line="280" w:lineRule="exact"/>
        <w:jc w:val="both"/>
        <w:rPr>
          <w:rFonts w:cstheme="minorHAnsi"/>
          <w:sz w:val="24"/>
          <w:szCs w:val="24"/>
        </w:rPr>
      </w:pPr>
    </w:p>
    <w:p w14:paraId="5B830D45" w14:textId="68816288" w:rsidR="00A975B8" w:rsidRPr="00051259" w:rsidRDefault="00E9014C" w:rsidP="00743A93">
      <w:pPr>
        <w:spacing w:after="0" w:line="280" w:lineRule="exact"/>
        <w:jc w:val="both"/>
        <w:rPr>
          <w:rFonts w:cstheme="minorHAnsi"/>
          <w:sz w:val="24"/>
          <w:szCs w:val="24"/>
        </w:rPr>
      </w:pPr>
      <w:r w:rsidRPr="00051259">
        <w:rPr>
          <w:rFonts w:cstheme="minorHAnsi"/>
          <w:sz w:val="24"/>
          <w:szCs w:val="24"/>
        </w:rPr>
        <w:t>Le PMF est un programme CORE du FEM, mis en œuvre par le PNUD et e</w:t>
      </w:r>
      <w:r w:rsidR="00445A1E" w:rsidRPr="00051259">
        <w:rPr>
          <w:rFonts w:cstheme="minorHAnsi"/>
          <w:sz w:val="24"/>
          <w:szCs w:val="24"/>
        </w:rPr>
        <w:t>xécuté par l'UNOPS. Le PMF Tunisie</w:t>
      </w:r>
      <w:r w:rsidRPr="00051259">
        <w:rPr>
          <w:rFonts w:cstheme="minorHAnsi"/>
          <w:sz w:val="24"/>
          <w:szCs w:val="24"/>
        </w:rPr>
        <w:t xml:space="preserve"> a </w:t>
      </w:r>
      <w:r w:rsidR="00743A93">
        <w:rPr>
          <w:rFonts w:cstheme="minorHAnsi"/>
          <w:sz w:val="24"/>
          <w:szCs w:val="24"/>
        </w:rPr>
        <w:t>initié ses activités</w:t>
      </w:r>
      <w:r w:rsidR="00445A1E" w:rsidRPr="00051259">
        <w:rPr>
          <w:rFonts w:cstheme="minorHAnsi"/>
          <w:sz w:val="24"/>
          <w:szCs w:val="24"/>
        </w:rPr>
        <w:t xml:space="preserve"> </w:t>
      </w:r>
      <w:r w:rsidR="00743A93">
        <w:rPr>
          <w:rFonts w:cstheme="minorHAnsi"/>
          <w:sz w:val="24"/>
          <w:szCs w:val="24"/>
        </w:rPr>
        <w:t xml:space="preserve">en Tunisie </w:t>
      </w:r>
      <w:r w:rsidR="00445A1E" w:rsidRPr="00051259">
        <w:rPr>
          <w:rFonts w:cstheme="minorHAnsi"/>
          <w:sz w:val="24"/>
          <w:szCs w:val="24"/>
        </w:rPr>
        <w:t>depuis l’année 1993</w:t>
      </w:r>
      <w:r w:rsidRPr="00051259">
        <w:rPr>
          <w:rFonts w:cstheme="minorHAnsi"/>
          <w:sz w:val="24"/>
          <w:szCs w:val="24"/>
        </w:rPr>
        <w:t>. Depuis lors, il a réussi à financer et à fournir un</w:t>
      </w:r>
      <w:r w:rsidR="00445A1E" w:rsidRPr="00051259">
        <w:rPr>
          <w:rFonts w:cstheme="minorHAnsi"/>
          <w:sz w:val="24"/>
          <w:szCs w:val="24"/>
        </w:rPr>
        <w:t xml:space="preserve"> support technique à plus de 180</w:t>
      </w:r>
      <w:r w:rsidRPr="00051259">
        <w:rPr>
          <w:rFonts w:cstheme="minorHAnsi"/>
          <w:sz w:val="24"/>
          <w:szCs w:val="24"/>
        </w:rPr>
        <w:t xml:space="preserve"> projets.</w:t>
      </w:r>
    </w:p>
    <w:p w14:paraId="4DA0F212" w14:textId="77777777" w:rsidR="00487166" w:rsidRPr="00051259" w:rsidRDefault="00487166" w:rsidP="00EE2A85">
      <w:pPr>
        <w:spacing w:after="0" w:line="280" w:lineRule="exact"/>
        <w:jc w:val="both"/>
        <w:rPr>
          <w:rFonts w:cstheme="minorHAnsi"/>
          <w:sz w:val="24"/>
          <w:szCs w:val="24"/>
        </w:rPr>
      </w:pPr>
    </w:p>
    <w:p w14:paraId="32738CDC" w14:textId="46ADD971" w:rsidR="00356815" w:rsidRPr="00051259" w:rsidRDefault="00E9014C" w:rsidP="00743A93">
      <w:pPr>
        <w:spacing w:after="0" w:line="280" w:lineRule="exact"/>
        <w:jc w:val="both"/>
        <w:rPr>
          <w:rFonts w:cstheme="minorHAnsi"/>
          <w:sz w:val="24"/>
          <w:szCs w:val="24"/>
        </w:rPr>
      </w:pPr>
      <w:r w:rsidRPr="00051259">
        <w:rPr>
          <w:rFonts w:cstheme="minorHAnsi"/>
          <w:sz w:val="24"/>
          <w:szCs w:val="24"/>
        </w:rPr>
        <w:t>Durant sa 6</w:t>
      </w:r>
      <w:r w:rsidRPr="00051259">
        <w:rPr>
          <w:rFonts w:cstheme="minorHAnsi"/>
          <w:sz w:val="24"/>
          <w:szCs w:val="24"/>
          <w:vertAlign w:val="superscript"/>
        </w:rPr>
        <w:t>ème</w:t>
      </w:r>
      <w:r w:rsidR="00913973">
        <w:rPr>
          <w:rFonts w:cstheme="minorHAnsi"/>
          <w:sz w:val="24"/>
          <w:szCs w:val="24"/>
        </w:rPr>
        <w:t xml:space="preserve"> phase opérationnelle (OP6) </w:t>
      </w:r>
      <w:r w:rsidR="00445A1E" w:rsidRPr="00051259">
        <w:rPr>
          <w:rFonts w:cstheme="minorHAnsi"/>
          <w:sz w:val="24"/>
          <w:szCs w:val="24"/>
        </w:rPr>
        <w:t xml:space="preserve">mise en œuvre entre </w:t>
      </w:r>
      <w:r w:rsidR="00743A93" w:rsidRPr="00051259">
        <w:rPr>
          <w:rFonts w:cstheme="minorHAnsi"/>
          <w:sz w:val="24"/>
          <w:szCs w:val="24"/>
        </w:rPr>
        <w:t>201</w:t>
      </w:r>
      <w:r w:rsidR="00743A93">
        <w:rPr>
          <w:rFonts w:cstheme="minorHAnsi"/>
          <w:sz w:val="24"/>
          <w:szCs w:val="24"/>
        </w:rPr>
        <w:t>6</w:t>
      </w:r>
      <w:r w:rsidR="00743A93" w:rsidRPr="00051259">
        <w:rPr>
          <w:rFonts w:cstheme="minorHAnsi"/>
          <w:sz w:val="24"/>
          <w:szCs w:val="24"/>
        </w:rPr>
        <w:t xml:space="preserve"> </w:t>
      </w:r>
      <w:r w:rsidR="00445A1E" w:rsidRPr="00051259">
        <w:rPr>
          <w:rFonts w:cstheme="minorHAnsi"/>
          <w:sz w:val="24"/>
          <w:szCs w:val="24"/>
        </w:rPr>
        <w:t>et 20</w:t>
      </w:r>
      <w:r w:rsidR="00051259" w:rsidRPr="00051259">
        <w:rPr>
          <w:rFonts w:cstheme="minorHAnsi"/>
          <w:sz w:val="24"/>
          <w:szCs w:val="24"/>
        </w:rPr>
        <w:t>20</w:t>
      </w:r>
      <w:r w:rsidRPr="00051259">
        <w:rPr>
          <w:rFonts w:cstheme="minorHAnsi"/>
          <w:sz w:val="24"/>
          <w:szCs w:val="24"/>
        </w:rPr>
        <w:t xml:space="preserve">, le PMF s’est fixé comme objectif de soutenir la création de bénéfices environnementaux globaux et la sauvegarde de l'environnement mondial à travers des solutions communautaires et locales qui complètent et ajoutent de la valeur à l'action nationale et mondiale. </w:t>
      </w:r>
    </w:p>
    <w:p w14:paraId="15EF921E" w14:textId="77777777" w:rsidR="00EE2A85" w:rsidRPr="00051259" w:rsidRDefault="00EE2A85" w:rsidP="00EE2A85">
      <w:pPr>
        <w:spacing w:after="0" w:line="280" w:lineRule="exact"/>
        <w:jc w:val="both"/>
        <w:rPr>
          <w:rFonts w:cstheme="minorHAnsi"/>
          <w:sz w:val="24"/>
          <w:szCs w:val="24"/>
        </w:rPr>
      </w:pPr>
    </w:p>
    <w:p w14:paraId="22C5333C" w14:textId="77777777" w:rsidR="00913973" w:rsidRDefault="00913973" w:rsidP="00913973">
      <w:pPr>
        <w:spacing w:after="0" w:line="280" w:lineRule="exact"/>
        <w:jc w:val="both"/>
        <w:rPr>
          <w:rFonts w:cstheme="minorHAnsi"/>
          <w:sz w:val="24"/>
          <w:szCs w:val="24"/>
        </w:rPr>
      </w:pPr>
      <w:r>
        <w:rPr>
          <w:rFonts w:cstheme="minorHAnsi"/>
          <w:sz w:val="24"/>
          <w:szCs w:val="24"/>
        </w:rPr>
        <w:t xml:space="preserve">En 2018, un premier appel a été lancé et 12 projets ont été retenus.  </w:t>
      </w:r>
    </w:p>
    <w:p w14:paraId="024B5054" w14:textId="77777777" w:rsidR="00655224" w:rsidRDefault="00655224" w:rsidP="00913973">
      <w:pPr>
        <w:spacing w:after="0" w:line="280" w:lineRule="exact"/>
        <w:jc w:val="both"/>
        <w:rPr>
          <w:rFonts w:cstheme="minorHAnsi"/>
          <w:sz w:val="24"/>
          <w:szCs w:val="24"/>
        </w:rPr>
      </w:pPr>
    </w:p>
    <w:p w14:paraId="1E555D97" w14:textId="183BABE5" w:rsidR="00655224" w:rsidRDefault="00913973" w:rsidP="00655224">
      <w:pPr>
        <w:spacing w:after="0" w:line="280" w:lineRule="exact"/>
        <w:jc w:val="both"/>
        <w:rPr>
          <w:rFonts w:cstheme="minorHAnsi"/>
          <w:color w:val="000000"/>
          <w:sz w:val="24"/>
          <w:szCs w:val="24"/>
        </w:rPr>
      </w:pPr>
      <w:r w:rsidRPr="00C7789F">
        <w:rPr>
          <w:rFonts w:cstheme="minorHAnsi"/>
          <w:sz w:val="24"/>
          <w:szCs w:val="24"/>
        </w:rPr>
        <w:t xml:space="preserve">Ce deuxième appel s’inscrit dans la continuité de l’appui des associations tunisiennes et des organisations communautaires de base (GDA </w:t>
      </w:r>
      <w:r w:rsidR="00655224" w:rsidRPr="00C7789F">
        <w:rPr>
          <w:rFonts w:cstheme="minorHAnsi"/>
          <w:sz w:val="24"/>
          <w:szCs w:val="24"/>
        </w:rPr>
        <w:t xml:space="preserve">et </w:t>
      </w:r>
      <w:r w:rsidRPr="00C7789F">
        <w:rPr>
          <w:rFonts w:cstheme="minorHAnsi"/>
          <w:sz w:val="24"/>
          <w:szCs w:val="24"/>
        </w:rPr>
        <w:t xml:space="preserve">SMSA) </w:t>
      </w:r>
      <w:r w:rsidR="00C24FC2" w:rsidRPr="00C7789F">
        <w:rPr>
          <w:rFonts w:cstheme="minorHAnsi"/>
          <w:color w:val="000000"/>
          <w:sz w:val="24"/>
          <w:szCs w:val="24"/>
        </w:rPr>
        <w:t>enregistré</w:t>
      </w:r>
      <w:r w:rsidR="00A06C19">
        <w:rPr>
          <w:rFonts w:cstheme="minorHAnsi"/>
          <w:color w:val="000000"/>
          <w:sz w:val="24"/>
          <w:szCs w:val="24"/>
        </w:rPr>
        <w:t>e</w:t>
      </w:r>
      <w:r w:rsidR="00C24FC2" w:rsidRPr="00C7789F">
        <w:rPr>
          <w:rFonts w:cstheme="minorHAnsi"/>
          <w:color w:val="000000"/>
          <w:sz w:val="24"/>
          <w:szCs w:val="24"/>
        </w:rPr>
        <w:t xml:space="preserve"> légalement en Tunisie. </w:t>
      </w:r>
    </w:p>
    <w:p w14:paraId="0A7334CC" w14:textId="1CF4D0EA" w:rsidR="00C7789F" w:rsidRPr="00051259" w:rsidRDefault="00C7789F" w:rsidP="00C7789F">
      <w:pPr>
        <w:jc w:val="both"/>
        <w:rPr>
          <w:rFonts w:cstheme="minorHAnsi"/>
          <w:sz w:val="24"/>
          <w:szCs w:val="24"/>
        </w:rPr>
      </w:pPr>
      <w:r w:rsidRPr="00051259">
        <w:rPr>
          <w:rFonts w:cstheme="minorHAnsi"/>
          <w:color w:val="000000"/>
          <w:sz w:val="24"/>
          <w:szCs w:val="24"/>
        </w:rPr>
        <w:t>Les jeunes associations sont encouragées à participer à cet appel à projet</w:t>
      </w:r>
      <w:r w:rsidR="006F0570">
        <w:rPr>
          <w:rFonts w:cstheme="minorHAnsi"/>
          <w:color w:val="000000"/>
          <w:sz w:val="24"/>
          <w:szCs w:val="24"/>
        </w:rPr>
        <w:t>s</w:t>
      </w:r>
      <w:r>
        <w:rPr>
          <w:rFonts w:cstheme="minorHAnsi"/>
          <w:color w:val="000000"/>
          <w:sz w:val="24"/>
          <w:szCs w:val="24"/>
        </w:rPr>
        <w:t>.</w:t>
      </w:r>
    </w:p>
    <w:p w14:paraId="5730E94E" w14:textId="77777777" w:rsidR="00C7789F" w:rsidRPr="00C7789F" w:rsidRDefault="00C7789F" w:rsidP="00655224">
      <w:pPr>
        <w:spacing w:after="0" w:line="280" w:lineRule="exact"/>
        <w:jc w:val="both"/>
        <w:rPr>
          <w:rFonts w:cstheme="minorHAnsi"/>
          <w:color w:val="000000"/>
          <w:sz w:val="24"/>
          <w:szCs w:val="24"/>
        </w:rPr>
      </w:pPr>
    </w:p>
    <w:p w14:paraId="4BF430BD" w14:textId="77777777" w:rsidR="00655224" w:rsidRPr="00C7789F" w:rsidRDefault="00655224" w:rsidP="00655224">
      <w:pPr>
        <w:spacing w:after="0" w:line="280" w:lineRule="exact"/>
        <w:jc w:val="both"/>
        <w:rPr>
          <w:rFonts w:cstheme="minorHAnsi"/>
          <w:color w:val="000000"/>
          <w:sz w:val="24"/>
          <w:szCs w:val="24"/>
        </w:rPr>
      </w:pPr>
    </w:p>
    <w:p w14:paraId="1949E9A4" w14:textId="77777777" w:rsidR="00913973" w:rsidRDefault="00913973" w:rsidP="00CE1C52">
      <w:pPr>
        <w:spacing w:after="0" w:line="280" w:lineRule="exact"/>
        <w:jc w:val="both"/>
        <w:rPr>
          <w:rFonts w:cstheme="minorHAnsi"/>
          <w:sz w:val="24"/>
          <w:szCs w:val="24"/>
        </w:rPr>
      </w:pPr>
    </w:p>
    <w:p w14:paraId="4394EA08" w14:textId="77777777" w:rsidR="00913973" w:rsidRDefault="00913973" w:rsidP="00CE1C52">
      <w:pPr>
        <w:spacing w:after="0" w:line="280" w:lineRule="exact"/>
        <w:jc w:val="both"/>
        <w:rPr>
          <w:rFonts w:cstheme="minorHAnsi"/>
          <w:sz w:val="24"/>
          <w:szCs w:val="24"/>
        </w:rPr>
      </w:pPr>
    </w:p>
    <w:p w14:paraId="42E30A40" w14:textId="77777777" w:rsidR="00913973" w:rsidRPr="00051259" w:rsidRDefault="00913973" w:rsidP="00CE1C52">
      <w:pPr>
        <w:spacing w:after="0" w:line="280" w:lineRule="exact"/>
        <w:jc w:val="both"/>
        <w:rPr>
          <w:rFonts w:cstheme="minorHAnsi"/>
          <w:sz w:val="24"/>
          <w:szCs w:val="24"/>
        </w:rPr>
      </w:pPr>
    </w:p>
    <w:p w14:paraId="1B0D0ED2" w14:textId="77777777" w:rsidR="00BE202E" w:rsidRPr="00051259" w:rsidRDefault="00E9014C" w:rsidP="001250B0">
      <w:pPr>
        <w:shd w:val="clear" w:color="auto" w:fill="FFCCFF"/>
        <w:tabs>
          <w:tab w:val="center" w:pos="4680"/>
          <w:tab w:val="right" w:pos="9360"/>
        </w:tabs>
        <w:jc w:val="both"/>
        <w:rPr>
          <w:rFonts w:cstheme="minorHAnsi"/>
          <w:b/>
          <w:sz w:val="24"/>
          <w:szCs w:val="24"/>
          <w:u w:val="single"/>
        </w:rPr>
      </w:pPr>
      <w:r w:rsidRPr="00051259">
        <w:rPr>
          <w:rFonts w:cstheme="minorHAnsi"/>
          <w:b/>
          <w:sz w:val="24"/>
          <w:szCs w:val="24"/>
          <w:u w:val="single"/>
        </w:rPr>
        <w:t>II. Paysages d’intervention :</w:t>
      </w:r>
    </w:p>
    <w:p w14:paraId="72AFC6AA" w14:textId="6E67931C" w:rsidR="00C7789F" w:rsidRPr="00A22221" w:rsidRDefault="00C7789F" w:rsidP="00270F7E">
      <w:pPr>
        <w:spacing w:after="0" w:line="280" w:lineRule="exact"/>
        <w:jc w:val="both"/>
        <w:rPr>
          <w:rFonts w:cstheme="minorHAnsi"/>
          <w:b/>
          <w:bCs/>
          <w:sz w:val="24"/>
          <w:szCs w:val="24"/>
          <w:u w:val="single"/>
        </w:rPr>
      </w:pPr>
      <w:r w:rsidRPr="00A22221">
        <w:rPr>
          <w:rFonts w:cstheme="minorHAnsi"/>
          <w:b/>
          <w:bCs/>
          <w:sz w:val="24"/>
          <w:szCs w:val="24"/>
          <w:u w:val="single"/>
        </w:rPr>
        <w:t xml:space="preserve">Pour ce deuxième appel de l’OP6, le programme </w:t>
      </w:r>
      <w:r w:rsidR="00270F7E">
        <w:rPr>
          <w:rFonts w:cstheme="minorHAnsi"/>
          <w:b/>
          <w:bCs/>
          <w:sz w:val="24"/>
          <w:szCs w:val="24"/>
          <w:u w:val="single"/>
        </w:rPr>
        <w:t>sera</w:t>
      </w:r>
      <w:r w:rsidR="00270F7E" w:rsidRPr="00A22221">
        <w:rPr>
          <w:rFonts w:cstheme="minorHAnsi"/>
          <w:b/>
          <w:bCs/>
          <w:sz w:val="24"/>
          <w:szCs w:val="24"/>
          <w:u w:val="single"/>
        </w:rPr>
        <w:t xml:space="preserve"> </w:t>
      </w:r>
      <w:r w:rsidRPr="00A22221">
        <w:rPr>
          <w:rFonts w:cstheme="minorHAnsi"/>
          <w:b/>
          <w:bCs/>
          <w:sz w:val="24"/>
          <w:szCs w:val="24"/>
          <w:u w:val="single"/>
        </w:rPr>
        <w:t>focalis</w:t>
      </w:r>
      <w:r w:rsidR="00270F7E">
        <w:rPr>
          <w:rFonts w:cstheme="minorHAnsi"/>
          <w:b/>
          <w:bCs/>
          <w:sz w:val="24"/>
          <w:szCs w:val="24"/>
          <w:u w:val="single"/>
        </w:rPr>
        <w:t>é</w:t>
      </w:r>
      <w:r w:rsidRPr="00A22221">
        <w:rPr>
          <w:rFonts w:cstheme="minorHAnsi"/>
          <w:b/>
          <w:bCs/>
          <w:sz w:val="24"/>
          <w:szCs w:val="24"/>
          <w:u w:val="single"/>
        </w:rPr>
        <w:t xml:space="preserve"> sur les problématiques environnementales touchant les aires marines, protégé</w:t>
      </w:r>
      <w:r w:rsidR="00270F7E">
        <w:rPr>
          <w:rFonts w:cstheme="minorHAnsi"/>
          <w:b/>
          <w:bCs/>
          <w:sz w:val="24"/>
          <w:szCs w:val="24"/>
          <w:u w:val="single"/>
        </w:rPr>
        <w:t>e</w:t>
      </w:r>
      <w:r w:rsidRPr="00A22221">
        <w:rPr>
          <w:rFonts w:cstheme="minorHAnsi"/>
          <w:b/>
          <w:bCs/>
          <w:sz w:val="24"/>
          <w:szCs w:val="24"/>
          <w:u w:val="single"/>
        </w:rPr>
        <w:t>s et non protégé</w:t>
      </w:r>
      <w:r w:rsidR="00270F7E">
        <w:rPr>
          <w:rFonts w:cstheme="minorHAnsi"/>
          <w:b/>
          <w:bCs/>
          <w:sz w:val="24"/>
          <w:szCs w:val="24"/>
          <w:u w:val="single"/>
        </w:rPr>
        <w:t>e</w:t>
      </w:r>
      <w:r w:rsidRPr="00A22221">
        <w:rPr>
          <w:rFonts w:cstheme="minorHAnsi"/>
          <w:b/>
          <w:bCs/>
          <w:sz w:val="24"/>
          <w:szCs w:val="24"/>
          <w:u w:val="single"/>
        </w:rPr>
        <w:t xml:space="preserve">s, dans le nord et le centre de la Tunisie </w:t>
      </w:r>
      <w:r>
        <w:rPr>
          <w:rFonts w:cstheme="minorHAnsi"/>
          <w:b/>
          <w:bCs/>
          <w:sz w:val="24"/>
          <w:szCs w:val="24"/>
          <w:u w:val="single"/>
        </w:rPr>
        <w:t>uniquement.</w:t>
      </w:r>
    </w:p>
    <w:p w14:paraId="5EFE5266" w14:textId="0D760BF5" w:rsidR="007D35CF" w:rsidRPr="00051259" w:rsidRDefault="00D923D4" w:rsidP="00C7789F">
      <w:pPr>
        <w:jc w:val="both"/>
        <w:rPr>
          <w:rFonts w:cstheme="minorHAnsi"/>
          <w:color w:val="000000"/>
          <w:sz w:val="24"/>
          <w:szCs w:val="24"/>
        </w:rPr>
      </w:pPr>
      <w:r w:rsidRPr="00051259">
        <w:rPr>
          <w:rFonts w:cstheme="minorHAnsi"/>
          <w:color w:val="000000"/>
          <w:sz w:val="24"/>
          <w:szCs w:val="24"/>
        </w:rPr>
        <w:t>Le</w:t>
      </w:r>
      <w:r w:rsidR="00C7789F">
        <w:rPr>
          <w:rFonts w:cstheme="minorHAnsi"/>
          <w:color w:val="000000"/>
          <w:sz w:val="24"/>
          <w:szCs w:val="24"/>
        </w:rPr>
        <w:t xml:space="preserve">s gouvernorats éligibles pour le présent appel sont </w:t>
      </w:r>
      <w:r w:rsidR="00C24FC2" w:rsidRPr="00895A8D">
        <w:rPr>
          <w:rFonts w:cstheme="minorHAnsi"/>
          <w:b/>
          <w:bCs/>
          <w:color w:val="000000"/>
          <w:sz w:val="24"/>
          <w:szCs w:val="24"/>
        </w:rPr>
        <w:t>Jendouba-B</w:t>
      </w:r>
      <w:r w:rsidR="00913973" w:rsidRPr="00895A8D">
        <w:rPr>
          <w:rFonts w:cstheme="minorHAnsi"/>
          <w:b/>
          <w:bCs/>
          <w:color w:val="000000"/>
          <w:sz w:val="24"/>
          <w:szCs w:val="24"/>
        </w:rPr>
        <w:t>eja</w:t>
      </w:r>
      <w:r w:rsidR="007B34B8" w:rsidRPr="00895A8D">
        <w:rPr>
          <w:rFonts w:cstheme="minorHAnsi"/>
          <w:b/>
          <w:bCs/>
          <w:color w:val="000000"/>
          <w:sz w:val="24"/>
          <w:szCs w:val="24"/>
        </w:rPr>
        <w:t>-</w:t>
      </w:r>
      <w:r w:rsidR="00C24FC2" w:rsidRPr="00895A8D">
        <w:rPr>
          <w:rFonts w:cstheme="minorHAnsi"/>
          <w:b/>
          <w:bCs/>
          <w:color w:val="000000"/>
          <w:sz w:val="24"/>
          <w:szCs w:val="24"/>
        </w:rPr>
        <w:t>Bizerte-</w:t>
      </w:r>
      <w:r w:rsidR="00655224" w:rsidRPr="00895A8D">
        <w:rPr>
          <w:rFonts w:cstheme="minorHAnsi"/>
          <w:b/>
          <w:bCs/>
          <w:color w:val="000000"/>
          <w:sz w:val="24"/>
          <w:szCs w:val="24"/>
        </w:rPr>
        <w:t xml:space="preserve"> </w:t>
      </w:r>
      <w:r w:rsidR="00C7789F" w:rsidRPr="00895A8D">
        <w:rPr>
          <w:rFonts w:cstheme="minorHAnsi"/>
          <w:b/>
          <w:bCs/>
          <w:color w:val="000000"/>
          <w:sz w:val="24"/>
          <w:szCs w:val="24"/>
        </w:rPr>
        <w:t xml:space="preserve">Grand </w:t>
      </w:r>
      <w:r w:rsidR="00C24FC2" w:rsidRPr="00895A8D">
        <w:rPr>
          <w:rFonts w:cstheme="minorHAnsi"/>
          <w:b/>
          <w:bCs/>
          <w:color w:val="000000"/>
          <w:sz w:val="24"/>
          <w:szCs w:val="24"/>
        </w:rPr>
        <w:t>Tunis-Nabeul-S</w:t>
      </w:r>
      <w:r w:rsidR="00895A8D">
        <w:rPr>
          <w:rFonts w:cstheme="minorHAnsi"/>
          <w:b/>
          <w:bCs/>
          <w:color w:val="000000"/>
          <w:sz w:val="24"/>
          <w:szCs w:val="24"/>
        </w:rPr>
        <w:t>ousse-Monastir et Mahdia.</w:t>
      </w:r>
    </w:p>
    <w:p w14:paraId="284FB77E" w14:textId="77777777" w:rsidR="006726D4" w:rsidRPr="00051259" w:rsidRDefault="00E9014C" w:rsidP="001250B0">
      <w:pPr>
        <w:shd w:val="clear" w:color="auto" w:fill="FFCCFF"/>
        <w:tabs>
          <w:tab w:val="center" w:pos="4680"/>
          <w:tab w:val="right" w:pos="9360"/>
        </w:tabs>
        <w:jc w:val="both"/>
        <w:rPr>
          <w:rFonts w:cstheme="minorHAnsi"/>
          <w:b/>
          <w:sz w:val="24"/>
          <w:szCs w:val="24"/>
          <w:u w:val="single"/>
        </w:rPr>
      </w:pPr>
      <w:r w:rsidRPr="00051259">
        <w:rPr>
          <w:rFonts w:cstheme="minorHAnsi"/>
          <w:b/>
          <w:sz w:val="24"/>
          <w:szCs w:val="24"/>
          <w:u w:val="single"/>
        </w:rPr>
        <w:t>III. Objectif global :</w:t>
      </w:r>
    </w:p>
    <w:p w14:paraId="153F3172" w14:textId="76FF65CA" w:rsidR="00DD2F4F" w:rsidRPr="00051259" w:rsidRDefault="00E9014C" w:rsidP="00A90FC0">
      <w:pPr>
        <w:tabs>
          <w:tab w:val="center" w:pos="4680"/>
          <w:tab w:val="right" w:pos="9360"/>
        </w:tabs>
        <w:jc w:val="both"/>
        <w:rPr>
          <w:rFonts w:cstheme="minorHAnsi"/>
          <w:sz w:val="24"/>
          <w:szCs w:val="24"/>
        </w:rPr>
      </w:pPr>
      <w:r w:rsidRPr="00051259">
        <w:rPr>
          <w:rFonts w:cstheme="minorHAnsi"/>
          <w:sz w:val="24"/>
          <w:szCs w:val="24"/>
        </w:rPr>
        <w:t xml:space="preserve">L’objectif </w:t>
      </w:r>
      <w:r w:rsidR="00D923D4" w:rsidRPr="00051259">
        <w:rPr>
          <w:rFonts w:cstheme="minorHAnsi"/>
          <w:sz w:val="24"/>
          <w:szCs w:val="24"/>
        </w:rPr>
        <w:t>global de</w:t>
      </w:r>
      <w:r w:rsidRPr="00051259">
        <w:rPr>
          <w:rFonts w:cstheme="minorHAnsi"/>
          <w:sz w:val="24"/>
          <w:szCs w:val="24"/>
        </w:rPr>
        <w:t xml:space="preserve"> cet appel à projet</w:t>
      </w:r>
      <w:r w:rsidR="006F0570">
        <w:rPr>
          <w:rFonts w:cstheme="minorHAnsi"/>
          <w:sz w:val="24"/>
          <w:szCs w:val="24"/>
        </w:rPr>
        <w:t>s</w:t>
      </w:r>
      <w:r w:rsidRPr="00051259">
        <w:rPr>
          <w:rFonts w:cstheme="minorHAnsi"/>
          <w:sz w:val="24"/>
          <w:szCs w:val="24"/>
        </w:rPr>
        <w:t xml:space="preserve"> est de soutenir des initiatives communautaires qui permettront de promouvoir des </w:t>
      </w:r>
      <w:r w:rsidRPr="00115028">
        <w:rPr>
          <w:rFonts w:cstheme="minorHAnsi"/>
          <w:b/>
          <w:bCs/>
          <w:sz w:val="24"/>
          <w:szCs w:val="24"/>
        </w:rPr>
        <w:t>approches intégrées</w:t>
      </w:r>
      <w:r w:rsidRPr="00051259">
        <w:rPr>
          <w:rFonts w:cstheme="minorHAnsi"/>
          <w:sz w:val="24"/>
          <w:szCs w:val="24"/>
        </w:rPr>
        <w:t xml:space="preserve"> (biodiversité</w:t>
      </w:r>
      <w:r w:rsidR="00C24FC2">
        <w:rPr>
          <w:rFonts w:cstheme="minorHAnsi"/>
          <w:sz w:val="24"/>
          <w:szCs w:val="24"/>
        </w:rPr>
        <w:t xml:space="preserve"> marine</w:t>
      </w:r>
      <w:r w:rsidRPr="00051259">
        <w:rPr>
          <w:rFonts w:cstheme="minorHAnsi"/>
          <w:sz w:val="24"/>
          <w:szCs w:val="24"/>
        </w:rPr>
        <w:t>, changement climatique</w:t>
      </w:r>
      <w:r w:rsidR="00C24FC2">
        <w:rPr>
          <w:rFonts w:cstheme="minorHAnsi"/>
          <w:sz w:val="24"/>
          <w:szCs w:val="24"/>
        </w:rPr>
        <w:t>, pollution marine</w:t>
      </w:r>
      <w:r w:rsidR="00C7789F">
        <w:rPr>
          <w:rFonts w:cstheme="minorHAnsi"/>
          <w:sz w:val="24"/>
          <w:szCs w:val="24"/>
        </w:rPr>
        <w:t>, recours aux énergies renouvelables dans les paysages marins</w:t>
      </w:r>
      <w:proofErr w:type="gramStart"/>
      <w:r w:rsidR="00C24FC2">
        <w:rPr>
          <w:rFonts w:cstheme="minorHAnsi"/>
          <w:sz w:val="24"/>
          <w:szCs w:val="24"/>
        </w:rPr>
        <w:t xml:space="preserve">… </w:t>
      </w:r>
      <w:r w:rsidRPr="00051259">
        <w:rPr>
          <w:rFonts w:cstheme="minorHAnsi"/>
          <w:sz w:val="24"/>
          <w:szCs w:val="24"/>
        </w:rPr>
        <w:t>)</w:t>
      </w:r>
      <w:proofErr w:type="gramEnd"/>
      <w:r w:rsidRPr="00051259">
        <w:rPr>
          <w:rFonts w:cstheme="minorHAnsi"/>
          <w:sz w:val="24"/>
          <w:szCs w:val="24"/>
        </w:rPr>
        <w:t xml:space="preserve">, </w:t>
      </w:r>
      <w:r w:rsidRPr="00115028">
        <w:rPr>
          <w:rFonts w:cstheme="minorHAnsi"/>
          <w:b/>
          <w:bCs/>
          <w:sz w:val="24"/>
          <w:szCs w:val="24"/>
        </w:rPr>
        <w:t>inclusives</w:t>
      </w:r>
      <w:r w:rsidR="00D923D4" w:rsidRPr="00051259">
        <w:rPr>
          <w:rFonts w:cstheme="minorHAnsi"/>
          <w:sz w:val="24"/>
          <w:szCs w:val="24"/>
        </w:rPr>
        <w:t xml:space="preserve"> (notamment pour les jeunes et le genre)</w:t>
      </w:r>
      <w:r w:rsidRPr="00051259">
        <w:rPr>
          <w:rFonts w:cstheme="minorHAnsi"/>
          <w:sz w:val="24"/>
          <w:szCs w:val="24"/>
        </w:rPr>
        <w:t xml:space="preserve"> et </w:t>
      </w:r>
      <w:r w:rsidR="00C7789F">
        <w:rPr>
          <w:rFonts w:cstheme="minorHAnsi"/>
          <w:sz w:val="24"/>
          <w:szCs w:val="24"/>
        </w:rPr>
        <w:t>innovantes</w:t>
      </w:r>
      <w:r w:rsidRPr="00051259">
        <w:rPr>
          <w:rFonts w:cstheme="minorHAnsi"/>
          <w:sz w:val="24"/>
          <w:szCs w:val="24"/>
        </w:rPr>
        <w:t xml:space="preserve"> conservat</w:t>
      </w:r>
      <w:r w:rsidR="00A90FC0">
        <w:rPr>
          <w:rFonts w:cstheme="minorHAnsi"/>
          <w:sz w:val="24"/>
          <w:szCs w:val="24"/>
        </w:rPr>
        <w:t>rices</w:t>
      </w:r>
      <w:r w:rsidRPr="00051259">
        <w:rPr>
          <w:rFonts w:cstheme="minorHAnsi"/>
          <w:sz w:val="24"/>
          <w:szCs w:val="24"/>
        </w:rPr>
        <w:t xml:space="preserve"> du patrimoine naturel</w:t>
      </w:r>
      <w:r w:rsidR="00BE2473" w:rsidRPr="00051259">
        <w:rPr>
          <w:rFonts w:cstheme="minorHAnsi"/>
          <w:sz w:val="24"/>
          <w:szCs w:val="24"/>
        </w:rPr>
        <w:t>, incluant</w:t>
      </w:r>
      <w:r w:rsidRPr="00051259">
        <w:rPr>
          <w:rFonts w:cstheme="minorHAnsi"/>
          <w:sz w:val="24"/>
          <w:szCs w:val="24"/>
        </w:rPr>
        <w:t xml:space="preserve"> la valorisation des connaissances traditio</w:t>
      </w:r>
      <w:r w:rsidR="00D923D4" w:rsidRPr="00051259">
        <w:rPr>
          <w:rFonts w:cstheme="minorHAnsi"/>
          <w:sz w:val="24"/>
          <w:szCs w:val="24"/>
        </w:rPr>
        <w:t>nnelles liées à la biodiversité</w:t>
      </w:r>
      <w:r w:rsidRPr="00051259">
        <w:rPr>
          <w:rFonts w:cstheme="minorHAnsi"/>
          <w:sz w:val="24"/>
          <w:szCs w:val="24"/>
        </w:rPr>
        <w:t>.</w:t>
      </w:r>
    </w:p>
    <w:p w14:paraId="34589FA2" w14:textId="3EF0ECD8" w:rsidR="00B86C33" w:rsidRPr="00051259" w:rsidRDefault="008B64D4" w:rsidP="00A90FC0">
      <w:pPr>
        <w:shd w:val="clear" w:color="auto" w:fill="FFCCFF"/>
        <w:jc w:val="both"/>
        <w:rPr>
          <w:rFonts w:cstheme="minorHAnsi"/>
          <w:b/>
          <w:bCs/>
          <w:u w:val="single"/>
        </w:rPr>
      </w:pPr>
      <w:r w:rsidRPr="00051259">
        <w:rPr>
          <w:rFonts w:cstheme="minorHAnsi"/>
          <w:b/>
          <w:bCs/>
          <w:u w:val="single"/>
        </w:rPr>
        <w:t>IV</w:t>
      </w:r>
      <w:r w:rsidR="00E9014C" w:rsidRPr="00051259">
        <w:rPr>
          <w:rFonts w:cstheme="minorHAnsi"/>
          <w:b/>
          <w:bCs/>
          <w:u w:val="single"/>
        </w:rPr>
        <w:t xml:space="preserve">- Initiatives stratégiques soutenues par le PMF FEM </w:t>
      </w:r>
      <w:r w:rsidR="00A90FC0">
        <w:rPr>
          <w:rFonts w:cstheme="minorHAnsi"/>
          <w:b/>
          <w:bCs/>
          <w:u w:val="single"/>
        </w:rPr>
        <w:t>pour le deuxième appel à projet</w:t>
      </w:r>
      <w:r w:rsidR="006F0570">
        <w:rPr>
          <w:rFonts w:cstheme="minorHAnsi"/>
          <w:b/>
          <w:bCs/>
          <w:u w:val="single"/>
        </w:rPr>
        <w:t>s</w:t>
      </w:r>
      <w:r w:rsidR="00A90FC0">
        <w:rPr>
          <w:rFonts w:cstheme="minorHAnsi"/>
          <w:b/>
          <w:bCs/>
          <w:u w:val="single"/>
        </w:rPr>
        <w:t xml:space="preserve"> OP6 :</w:t>
      </w:r>
    </w:p>
    <w:p w14:paraId="46F0CCB0" w14:textId="2C20A3EA" w:rsidR="00363770" w:rsidRPr="00051259" w:rsidRDefault="00E9014C" w:rsidP="00A90FC0">
      <w:pPr>
        <w:pStyle w:val="Paragraphedeliste"/>
        <w:numPr>
          <w:ilvl w:val="0"/>
          <w:numId w:val="25"/>
        </w:numPr>
        <w:spacing w:after="160" w:line="240" w:lineRule="auto"/>
        <w:ind w:left="720"/>
        <w:jc w:val="both"/>
        <w:rPr>
          <w:rFonts w:cstheme="minorHAnsi"/>
        </w:rPr>
      </w:pPr>
      <w:r w:rsidRPr="00051259">
        <w:rPr>
          <w:rFonts w:cstheme="minorHAnsi"/>
          <w:b/>
          <w:sz w:val="24"/>
          <w:szCs w:val="24"/>
        </w:rPr>
        <w:t>Conservation</w:t>
      </w:r>
      <w:r w:rsidR="008C40E4">
        <w:rPr>
          <w:rFonts w:cstheme="minorHAnsi"/>
          <w:b/>
          <w:sz w:val="24"/>
          <w:szCs w:val="24"/>
        </w:rPr>
        <w:t xml:space="preserve"> et protection</w:t>
      </w:r>
      <w:r w:rsidRPr="00051259">
        <w:rPr>
          <w:rFonts w:cstheme="minorHAnsi"/>
          <w:b/>
          <w:sz w:val="24"/>
          <w:szCs w:val="24"/>
        </w:rPr>
        <w:t xml:space="preserve"> </w:t>
      </w:r>
      <w:r w:rsidR="00C24FC2">
        <w:rPr>
          <w:rFonts w:cstheme="minorHAnsi"/>
          <w:b/>
          <w:sz w:val="24"/>
          <w:szCs w:val="24"/>
        </w:rPr>
        <w:t xml:space="preserve">des paysages </w:t>
      </w:r>
      <w:r w:rsidRPr="00051259">
        <w:rPr>
          <w:rFonts w:cstheme="minorHAnsi"/>
          <w:b/>
          <w:sz w:val="24"/>
          <w:szCs w:val="24"/>
        </w:rPr>
        <w:t>marins</w:t>
      </w:r>
      <w:r w:rsidR="00A90FC0">
        <w:rPr>
          <w:rFonts w:cstheme="minorHAnsi"/>
          <w:b/>
          <w:sz w:val="24"/>
          <w:szCs w:val="24"/>
        </w:rPr>
        <w:t xml:space="preserve"> à l’échelle communautaire </w:t>
      </w:r>
    </w:p>
    <w:p w14:paraId="1EE956AE" w14:textId="7B3D04FF" w:rsidR="005233BA" w:rsidRPr="00051259" w:rsidRDefault="00E9014C" w:rsidP="00A90FC0">
      <w:pPr>
        <w:pStyle w:val="NormalWeb"/>
        <w:spacing w:after="160" w:line="240" w:lineRule="auto"/>
        <w:jc w:val="both"/>
        <w:rPr>
          <w:rFonts w:asciiTheme="minorHAnsi" w:hAnsiTheme="minorHAnsi" w:cstheme="minorHAnsi"/>
        </w:rPr>
      </w:pPr>
      <w:r w:rsidRPr="00051259">
        <w:rPr>
          <w:rFonts w:asciiTheme="minorHAnsi" w:hAnsiTheme="minorHAnsi" w:cstheme="minorHAnsi"/>
        </w:rPr>
        <w:t>Les projets de conservation de paysages doivent identifier des écosystèmes importants et utiliser une approche communautaire de cons</w:t>
      </w:r>
      <w:r w:rsidR="00C24FC2">
        <w:rPr>
          <w:rFonts w:asciiTheme="minorHAnsi" w:hAnsiTheme="minorHAnsi" w:cstheme="minorHAnsi"/>
        </w:rPr>
        <w:t>ervation des paysages marins</w:t>
      </w:r>
      <w:r w:rsidRPr="00051259">
        <w:rPr>
          <w:rFonts w:asciiTheme="minorHAnsi" w:hAnsiTheme="minorHAnsi" w:cstheme="minorHAnsi"/>
        </w:rPr>
        <w:t xml:space="preserve">. </w:t>
      </w:r>
    </w:p>
    <w:p w14:paraId="78AF0369" w14:textId="7F8F44BA" w:rsidR="00EB3CB8" w:rsidRPr="00051259" w:rsidRDefault="002974DC" w:rsidP="00742A6D">
      <w:pPr>
        <w:pStyle w:val="NormalWeb"/>
        <w:spacing w:after="160" w:line="240" w:lineRule="auto"/>
        <w:jc w:val="both"/>
        <w:rPr>
          <w:rFonts w:asciiTheme="minorHAnsi" w:hAnsiTheme="minorHAnsi" w:cstheme="minorHAnsi"/>
          <w:color w:val="000000"/>
        </w:rPr>
      </w:pPr>
      <w:hyperlink r:id="rId8" w:history="1">
        <w:r w:rsidR="00E9014C" w:rsidRPr="00051259">
          <w:rPr>
            <w:rFonts w:asciiTheme="minorHAnsi" w:hAnsiTheme="minorHAnsi" w:cstheme="minorHAnsi"/>
          </w:rPr>
          <w:t>L’adoption d’une approche paysagère</w:t>
        </w:r>
      </w:hyperlink>
      <w:r w:rsidR="00E9014C" w:rsidRPr="00051259">
        <w:rPr>
          <w:rFonts w:asciiTheme="minorHAnsi" w:hAnsiTheme="minorHAnsi" w:cstheme="minorHAnsi"/>
        </w:rPr>
        <w:t xml:space="preserve"> basée sur une approche plurisectorielle avec la participation des communautés dans la conservation des paysages est recherchée. </w:t>
      </w:r>
      <w:r w:rsidR="00E9014C" w:rsidRPr="00051259">
        <w:rPr>
          <w:rFonts w:asciiTheme="minorHAnsi" w:hAnsiTheme="minorHAnsi" w:cstheme="minorHAnsi"/>
          <w:color w:val="000000"/>
        </w:rPr>
        <w:t>L'intégration de l'approche paysage au sein des projets contribue à promouvoir le lien entre la</w:t>
      </w:r>
      <w:r w:rsidR="00E9014C" w:rsidRPr="00051259">
        <w:rPr>
          <w:rFonts w:asciiTheme="minorHAnsi" w:hAnsiTheme="minorHAnsi" w:cstheme="minorHAnsi"/>
          <w:color w:val="000000"/>
          <w:lang w:eastAsia="ja-JP"/>
        </w:rPr>
        <w:t xml:space="preserve"> </w:t>
      </w:r>
      <w:r w:rsidR="00E9014C" w:rsidRPr="00051259">
        <w:rPr>
          <w:rFonts w:asciiTheme="minorHAnsi" w:hAnsiTheme="minorHAnsi" w:cstheme="minorHAnsi"/>
          <w:b/>
          <w:bCs/>
          <w:color w:val="000000"/>
          <w:lang w:eastAsia="ja-JP"/>
        </w:rPr>
        <w:t xml:space="preserve">conservation de la biodiversité, </w:t>
      </w:r>
      <w:r w:rsidR="00E9014C" w:rsidRPr="00051259">
        <w:rPr>
          <w:rFonts w:asciiTheme="minorHAnsi" w:hAnsiTheme="minorHAnsi" w:cstheme="minorHAnsi"/>
          <w:color w:val="000000"/>
          <w:lang w:eastAsia="ja-JP"/>
        </w:rPr>
        <w:t xml:space="preserve">le </w:t>
      </w:r>
      <w:r w:rsidR="00E9014C" w:rsidRPr="00051259">
        <w:rPr>
          <w:rFonts w:asciiTheme="minorHAnsi" w:hAnsiTheme="minorHAnsi" w:cstheme="minorHAnsi"/>
          <w:b/>
          <w:bCs/>
          <w:color w:val="000000"/>
          <w:lang w:eastAsia="ja-JP"/>
        </w:rPr>
        <w:t>développement durable</w:t>
      </w:r>
      <w:r w:rsidR="00E9014C" w:rsidRPr="00051259">
        <w:rPr>
          <w:rFonts w:asciiTheme="minorHAnsi" w:hAnsiTheme="minorHAnsi" w:cstheme="minorHAnsi"/>
          <w:color w:val="000000"/>
          <w:lang w:eastAsia="ja-JP"/>
        </w:rPr>
        <w:t xml:space="preserve"> et les </w:t>
      </w:r>
      <w:r w:rsidR="00E9014C" w:rsidRPr="00051259">
        <w:rPr>
          <w:rFonts w:asciiTheme="minorHAnsi" w:hAnsiTheme="minorHAnsi" w:cstheme="minorHAnsi"/>
          <w:b/>
          <w:bCs/>
          <w:color w:val="000000"/>
          <w:lang w:eastAsia="ja-JP"/>
        </w:rPr>
        <w:t>préoccupations sociales</w:t>
      </w:r>
      <w:r w:rsidR="00E9014C" w:rsidRPr="00051259">
        <w:rPr>
          <w:rFonts w:asciiTheme="minorHAnsi" w:hAnsiTheme="minorHAnsi" w:cstheme="minorHAnsi"/>
          <w:color w:val="000000"/>
          <w:lang w:eastAsia="ja-JP"/>
        </w:rPr>
        <w:t xml:space="preserve">. </w:t>
      </w:r>
      <w:r w:rsidR="00E9014C" w:rsidRPr="00051259">
        <w:rPr>
          <w:rFonts w:asciiTheme="minorHAnsi" w:hAnsiTheme="minorHAnsi" w:cstheme="minorHAnsi"/>
          <w:bCs/>
          <w:color w:val="000000"/>
        </w:rPr>
        <w:t xml:space="preserve">La mise en œuvre de cette approche par le PMF </w:t>
      </w:r>
      <w:r w:rsidR="00A90FC0">
        <w:rPr>
          <w:rFonts w:asciiTheme="minorHAnsi" w:hAnsiTheme="minorHAnsi" w:cstheme="minorHAnsi"/>
          <w:bCs/>
          <w:color w:val="000000"/>
        </w:rPr>
        <w:t>est</w:t>
      </w:r>
      <w:r w:rsidR="00A90FC0" w:rsidRPr="00051259">
        <w:rPr>
          <w:rFonts w:asciiTheme="minorHAnsi" w:hAnsiTheme="minorHAnsi" w:cstheme="minorHAnsi"/>
          <w:bCs/>
          <w:color w:val="000000"/>
        </w:rPr>
        <w:t xml:space="preserve"> </w:t>
      </w:r>
      <w:r w:rsidR="00E9014C" w:rsidRPr="00051259">
        <w:rPr>
          <w:rFonts w:asciiTheme="minorHAnsi" w:hAnsiTheme="minorHAnsi" w:cstheme="minorHAnsi"/>
          <w:bCs/>
          <w:color w:val="000000"/>
        </w:rPr>
        <w:t xml:space="preserve">basée </w:t>
      </w:r>
      <w:r w:rsidR="00FA041D">
        <w:rPr>
          <w:rFonts w:asciiTheme="minorHAnsi" w:hAnsiTheme="minorHAnsi" w:cstheme="minorHAnsi"/>
          <w:bCs/>
          <w:color w:val="000000"/>
        </w:rPr>
        <w:t xml:space="preserve">sur </w:t>
      </w:r>
      <w:r w:rsidR="00E9014C" w:rsidRPr="00051259">
        <w:rPr>
          <w:rFonts w:asciiTheme="minorHAnsi" w:hAnsiTheme="minorHAnsi" w:cstheme="minorHAnsi"/>
          <w:bCs/>
          <w:color w:val="000000"/>
        </w:rPr>
        <w:t>les micro</w:t>
      </w:r>
      <w:r w:rsidR="00A06C19">
        <w:rPr>
          <w:rFonts w:asciiTheme="minorHAnsi" w:hAnsiTheme="minorHAnsi" w:cstheme="minorHAnsi"/>
          <w:bCs/>
          <w:color w:val="000000"/>
        </w:rPr>
        <w:t>s</w:t>
      </w:r>
      <w:r w:rsidR="00E9014C" w:rsidRPr="00051259">
        <w:rPr>
          <w:rFonts w:asciiTheme="minorHAnsi" w:hAnsiTheme="minorHAnsi" w:cstheme="minorHAnsi"/>
          <w:bCs/>
          <w:color w:val="000000"/>
        </w:rPr>
        <w:t xml:space="preserve">-financements </w:t>
      </w:r>
      <w:r w:rsidR="00A90FC0">
        <w:rPr>
          <w:rFonts w:asciiTheme="minorHAnsi" w:hAnsiTheme="minorHAnsi" w:cstheme="minorHAnsi"/>
          <w:bCs/>
          <w:color w:val="000000"/>
        </w:rPr>
        <w:t>pour soutenir des</w:t>
      </w:r>
      <w:r w:rsidR="00E9014C" w:rsidRPr="00051259">
        <w:rPr>
          <w:rFonts w:asciiTheme="minorHAnsi" w:hAnsiTheme="minorHAnsi" w:cstheme="minorHAnsi"/>
          <w:bCs/>
          <w:color w:val="000000"/>
        </w:rPr>
        <w:t xml:space="preserve"> activités de renforcement des capacités, les échanges et l'entretien d’un réseau à l'échelle du paysage tout en forgeant de nouveaux partenariats financiers.</w:t>
      </w:r>
    </w:p>
    <w:p w14:paraId="6D22C7CE" w14:textId="77777777" w:rsidR="00B86C33" w:rsidRPr="00051259" w:rsidRDefault="00E9014C" w:rsidP="00116714">
      <w:pPr>
        <w:pStyle w:val="NormalWeb"/>
        <w:spacing w:after="160" w:line="240" w:lineRule="auto"/>
        <w:jc w:val="both"/>
        <w:rPr>
          <w:rFonts w:asciiTheme="minorHAnsi" w:hAnsiTheme="minorHAnsi" w:cstheme="minorHAnsi"/>
          <w:bCs/>
          <w:color w:val="000000"/>
        </w:rPr>
      </w:pPr>
      <w:r w:rsidRPr="00051259">
        <w:rPr>
          <w:rFonts w:asciiTheme="minorHAnsi" w:hAnsiTheme="minorHAnsi" w:cstheme="minorHAnsi"/>
          <w:bCs/>
          <w:color w:val="000000"/>
        </w:rPr>
        <w:t xml:space="preserve">Avec l’adoption en 2010 du </w:t>
      </w:r>
      <w:hyperlink r:id="rId9" w:history="1">
        <w:r w:rsidRPr="00051259">
          <w:rPr>
            <w:rFonts w:asciiTheme="minorHAnsi" w:hAnsiTheme="minorHAnsi" w:cstheme="minorHAnsi"/>
            <w:bCs/>
            <w:color w:val="000000"/>
          </w:rPr>
          <w:t>Cadre du plan stratégique 2020 de la CBD incluant les objectifs d’Aichi</w:t>
        </w:r>
      </w:hyperlink>
      <w:r w:rsidRPr="00051259">
        <w:rPr>
          <w:rFonts w:asciiTheme="minorHAnsi" w:hAnsiTheme="minorHAnsi" w:cstheme="minorHAnsi"/>
          <w:bCs/>
          <w:color w:val="000000"/>
        </w:rPr>
        <w:t>, un changement de paradigme se produit dans la manière dont les parties et le système multilatéral abordent ce thème. En particulier, les stratégies de gestion de la biodiversité reconnaissent et renforcent de plus en plus le rôle vital des communautés locales et des peuples autochtones dans la conservation volontaire de la biodiversité en dehors du cadre formel gouvernemental des Aires Protégées.</w:t>
      </w:r>
    </w:p>
    <w:p w14:paraId="6A5822FE" w14:textId="002F5521" w:rsidR="00626A89" w:rsidRPr="00051259" w:rsidRDefault="00E9014C" w:rsidP="00A47E9F">
      <w:pPr>
        <w:pStyle w:val="NormalWeb"/>
        <w:spacing w:after="160" w:line="240" w:lineRule="auto"/>
        <w:jc w:val="both"/>
        <w:rPr>
          <w:rFonts w:asciiTheme="minorHAnsi" w:hAnsiTheme="minorHAnsi" w:cstheme="minorHAnsi"/>
          <w:bCs/>
          <w:color w:val="000000"/>
        </w:rPr>
      </w:pPr>
      <w:r w:rsidRPr="00051259">
        <w:rPr>
          <w:rFonts w:asciiTheme="minorHAnsi" w:hAnsiTheme="minorHAnsi" w:cstheme="minorHAnsi"/>
          <w:bCs/>
          <w:color w:val="000000"/>
        </w:rPr>
        <w:t>Les projets appuieront ainsi la reconnaissance, le soutien et l'efficacité globale de la conservation de la biodiversité, des moyens de subsistance durables et la résil</w:t>
      </w:r>
      <w:r w:rsidR="0003714B" w:rsidRPr="00051259">
        <w:rPr>
          <w:rFonts w:asciiTheme="minorHAnsi" w:hAnsiTheme="minorHAnsi" w:cstheme="minorHAnsi"/>
          <w:bCs/>
          <w:color w:val="000000"/>
        </w:rPr>
        <w:t>ience au changement climatique</w:t>
      </w:r>
      <w:r w:rsidRPr="00051259">
        <w:rPr>
          <w:rFonts w:asciiTheme="minorHAnsi" w:hAnsiTheme="minorHAnsi" w:cstheme="minorHAnsi"/>
          <w:bCs/>
          <w:color w:val="000000"/>
        </w:rPr>
        <w:t xml:space="preserve">, contribuant ainsi à la réalisation des </w:t>
      </w:r>
      <w:r w:rsidR="00A47E9F">
        <w:rPr>
          <w:rFonts w:asciiTheme="minorHAnsi" w:hAnsiTheme="minorHAnsi" w:cstheme="minorHAnsi"/>
          <w:bCs/>
          <w:color w:val="000000"/>
        </w:rPr>
        <w:t>o</w:t>
      </w:r>
      <w:r w:rsidRPr="00051259">
        <w:rPr>
          <w:rFonts w:asciiTheme="minorHAnsi" w:hAnsiTheme="minorHAnsi" w:cstheme="minorHAnsi"/>
          <w:bCs/>
          <w:color w:val="000000"/>
        </w:rPr>
        <w:t xml:space="preserve">bjectifs d'Aichi 11 (zones protégées), 14 (services des écosystèmes) et 18 (connaissances, innovations et pratiques traditionnelles) de la Stratégie globale de la biodiversité 2020. </w:t>
      </w:r>
      <w:bookmarkStart w:id="0" w:name="_GoBack"/>
      <w:bookmarkEnd w:id="0"/>
    </w:p>
    <w:p w14:paraId="52435F89" w14:textId="77777777" w:rsidR="00B920D3" w:rsidRPr="00051259" w:rsidRDefault="00B920D3" w:rsidP="00A23C2C">
      <w:pPr>
        <w:spacing w:after="0" w:line="280" w:lineRule="exact"/>
        <w:jc w:val="both"/>
        <w:rPr>
          <w:rFonts w:cstheme="minorHAnsi"/>
        </w:rPr>
      </w:pPr>
    </w:p>
    <w:p w14:paraId="00B9E4FF" w14:textId="77777777" w:rsidR="004074E3" w:rsidRPr="00051259" w:rsidRDefault="004074E3" w:rsidP="00A23C2C">
      <w:pPr>
        <w:spacing w:after="0" w:line="280" w:lineRule="exact"/>
        <w:jc w:val="both"/>
        <w:rPr>
          <w:rFonts w:cstheme="minorHAnsi"/>
        </w:rPr>
      </w:pPr>
    </w:p>
    <w:p w14:paraId="7692AEE6" w14:textId="77777777" w:rsidR="00CB2E30" w:rsidRPr="00051259" w:rsidRDefault="00CB2E30" w:rsidP="00CB2E30">
      <w:pPr>
        <w:pStyle w:val="GCFSubparaab"/>
        <w:numPr>
          <w:ilvl w:val="0"/>
          <w:numId w:val="0"/>
        </w:numPr>
        <w:tabs>
          <w:tab w:val="left" w:pos="720"/>
        </w:tabs>
        <w:spacing w:before="0" w:after="0"/>
        <w:jc w:val="both"/>
        <w:rPr>
          <w:rFonts w:asciiTheme="minorHAnsi" w:eastAsia="Times New Roman" w:hAnsiTheme="minorHAnsi" w:cstheme="minorHAnsi"/>
          <w:color w:val="auto"/>
          <w:sz w:val="22"/>
          <w:szCs w:val="22"/>
        </w:rPr>
      </w:pPr>
    </w:p>
    <w:p w14:paraId="744CAA75" w14:textId="77777777" w:rsidR="00100EEE" w:rsidRPr="00051259" w:rsidRDefault="00E9014C" w:rsidP="00363770">
      <w:pPr>
        <w:pStyle w:val="Paragraphedeliste"/>
        <w:numPr>
          <w:ilvl w:val="0"/>
          <w:numId w:val="25"/>
        </w:numPr>
        <w:spacing w:after="0" w:line="240" w:lineRule="auto"/>
        <w:ind w:left="720"/>
        <w:jc w:val="both"/>
        <w:rPr>
          <w:rFonts w:cstheme="minorHAnsi"/>
          <w:b/>
          <w:sz w:val="24"/>
          <w:szCs w:val="24"/>
        </w:rPr>
      </w:pPr>
      <w:r w:rsidRPr="00051259">
        <w:rPr>
          <w:rFonts w:cstheme="minorHAnsi"/>
          <w:b/>
          <w:sz w:val="24"/>
          <w:szCs w:val="24"/>
        </w:rPr>
        <w:t>Les « </w:t>
      </w:r>
      <w:proofErr w:type="spellStart"/>
      <w:r w:rsidRPr="00051259">
        <w:rPr>
          <w:rFonts w:cstheme="minorHAnsi"/>
          <w:b/>
          <w:sz w:val="24"/>
          <w:szCs w:val="24"/>
        </w:rPr>
        <w:t>co</w:t>
      </w:r>
      <w:proofErr w:type="spellEnd"/>
      <w:r w:rsidRPr="00051259">
        <w:rPr>
          <w:rFonts w:cstheme="minorHAnsi"/>
          <w:b/>
          <w:sz w:val="24"/>
          <w:szCs w:val="24"/>
        </w:rPr>
        <w:t>-avantages » de l’accès à l’énergie à faible émission de carbone</w:t>
      </w:r>
    </w:p>
    <w:p w14:paraId="3C344E74" w14:textId="77777777" w:rsidR="00BB2B03" w:rsidRPr="00051259" w:rsidRDefault="00BB2B03" w:rsidP="009771F3">
      <w:pPr>
        <w:autoSpaceDE w:val="0"/>
        <w:autoSpaceDN w:val="0"/>
        <w:jc w:val="both"/>
        <w:rPr>
          <w:rFonts w:cstheme="minorHAnsi"/>
        </w:rPr>
      </w:pPr>
    </w:p>
    <w:p w14:paraId="3DB28D09" w14:textId="3D8A9A72" w:rsidR="00C9006A" w:rsidRPr="00051259" w:rsidRDefault="00E9014C" w:rsidP="00A90FC0">
      <w:pPr>
        <w:autoSpaceDE w:val="0"/>
        <w:autoSpaceDN w:val="0"/>
        <w:jc w:val="both"/>
        <w:rPr>
          <w:rFonts w:cstheme="minorHAnsi"/>
          <w:sz w:val="24"/>
          <w:szCs w:val="24"/>
        </w:rPr>
      </w:pPr>
      <w:r w:rsidRPr="00051259">
        <w:rPr>
          <w:rFonts w:cstheme="minorHAnsi"/>
          <w:sz w:val="24"/>
          <w:szCs w:val="24"/>
        </w:rPr>
        <w:t>Durant l’OP6</w:t>
      </w:r>
      <w:r w:rsidR="002B1CE9" w:rsidRPr="00051259">
        <w:rPr>
          <w:rFonts w:cstheme="minorHAnsi"/>
          <w:sz w:val="24"/>
          <w:szCs w:val="24"/>
        </w:rPr>
        <w:t>, l’accent</w:t>
      </w:r>
      <w:r w:rsidRPr="00051259">
        <w:rPr>
          <w:rFonts w:cstheme="minorHAnsi"/>
          <w:sz w:val="24"/>
          <w:szCs w:val="24"/>
        </w:rPr>
        <w:t xml:space="preserve"> </w:t>
      </w:r>
      <w:r w:rsidR="00A90FC0">
        <w:rPr>
          <w:rFonts w:cstheme="minorHAnsi"/>
          <w:sz w:val="24"/>
          <w:szCs w:val="24"/>
        </w:rPr>
        <w:t>est</w:t>
      </w:r>
      <w:r w:rsidR="00A90FC0" w:rsidRPr="00051259">
        <w:rPr>
          <w:rFonts w:cstheme="minorHAnsi"/>
          <w:sz w:val="24"/>
          <w:szCs w:val="24"/>
        </w:rPr>
        <w:t xml:space="preserve"> </w:t>
      </w:r>
      <w:r w:rsidRPr="00051259">
        <w:rPr>
          <w:rFonts w:cstheme="minorHAnsi"/>
          <w:sz w:val="24"/>
          <w:szCs w:val="24"/>
        </w:rPr>
        <w:t xml:space="preserve">mis sur la mise en </w:t>
      </w:r>
      <w:r w:rsidR="002B1CE9" w:rsidRPr="00051259">
        <w:rPr>
          <w:rFonts w:cstheme="minorHAnsi"/>
          <w:sz w:val="24"/>
          <w:szCs w:val="24"/>
        </w:rPr>
        <w:t>place de</w:t>
      </w:r>
      <w:r w:rsidRPr="00051259">
        <w:rPr>
          <w:rFonts w:cstheme="minorHAnsi"/>
          <w:b/>
          <w:bCs/>
          <w:sz w:val="24"/>
          <w:szCs w:val="24"/>
        </w:rPr>
        <w:t xml:space="preserve"> solutions énergétiques ascendantes</w:t>
      </w:r>
      <w:r w:rsidRPr="00051259">
        <w:rPr>
          <w:rFonts w:cstheme="minorHAnsi"/>
          <w:sz w:val="24"/>
          <w:szCs w:val="24"/>
        </w:rPr>
        <w:t>, « </w:t>
      </w:r>
      <w:proofErr w:type="spellStart"/>
      <w:r w:rsidRPr="00051259">
        <w:rPr>
          <w:rFonts w:cstheme="minorHAnsi"/>
          <w:sz w:val="24"/>
          <w:szCs w:val="24"/>
        </w:rPr>
        <w:t>bottom</w:t>
      </w:r>
      <w:proofErr w:type="spellEnd"/>
      <w:r w:rsidRPr="00051259">
        <w:rPr>
          <w:rFonts w:cstheme="minorHAnsi"/>
          <w:sz w:val="24"/>
          <w:szCs w:val="24"/>
        </w:rPr>
        <w:t xml:space="preserve">-up », qui sont </w:t>
      </w:r>
      <w:r w:rsidRPr="00051259">
        <w:rPr>
          <w:rFonts w:cstheme="minorHAnsi"/>
          <w:b/>
          <w:bCs/>
          <w:sz w:val="24"/>
          <w:szCs w:val="24"/>
        </w:rPr>
        <w:t xml:space="preserve">peu coûteuses </w:t>
      </w:r>
      <w:r w:rsidRPr="00051259">
        <w:rPr>
          <w:rFonts w:cstheme="minorHAnsi"/>
          <w:sz w:val="24"/>
          <w:szCs w:val="24"/>
        </w:rPr>
        <w:t xml:space="preserve">et offrent un </w:t>
      </w:r>
      <w:r w:rsidRPr="00051259">
        <w:rPr>
          <w:rFonts w:cstheme="minorHAnsi"/>
          <w:b/>
          <w:bCs/>
          <w:sz w:val="24"/>
          <w:szCs w:val="24"/>
        </w:rPr>
        <w:t>fort potentiel de réduction des émissions de carbone</w:t>
      </w:r>
      <w:r w:rsidRPr="00051259">
        <w:rPr>
          <w:rFonts w:cstheme="minorHAnsi"/>
          <w:sz w:val="24"/>
          <w:szCs w:val="24"/>
        </w:rPr>
        <w:t xml:space="preserve">, y compris les petites </w:t>
      </w:r>
      <w:r w:rsidRPr="00051259">
        <w:rPr>
          <w:rFonts w:cstheme="minorHAnsi"/>
          <w:b/>
          <w:bCs/>
          <w:sz w:val="24"/>
          <w:szCs w:val="24"/>
        </w:rPr>
        <w:t>centrales hydroélectriques</w:t>
      </w:r>
      <w:r w:rsidRPr="00051259">
        <w:rPr>
          <w:rFonts w:cstheme="minorHAnsi"/>
          <w:sz w:val="24"/>
          <w:szCs w:val="24"/>
        </w:rPr>
        <w:t xml:space="preserve">, les </w:t>
      </w:r>
      <w:r w:rsidRPr="00051259">
        <w:rPr>
          <w:rFonts w:cstheme="minorHAnsi"/>
          <w:b/>
          <w:bCs/>
          <w:sz w:val="24"/>
          <w:szCs w:val="24"/>
        </w:rPr>
        <w:t>systèmes de bioénergie</w:t>
      </w:r>
      <w:r w:rsidRPr="00051259">
        <w:rPr>
          <w:rFonts w:cstheme="minorHAnsi"/>
          <w:sz w:val="24"/>
          <w:szCs w:val="24"/>
        </w:rPr>
        <w:t xml:space="preserve"> à partir des déchets et les </w:t>
      </w:r>
      <w:r w:rsidRPr="00051259">
        <w:rPr>
          <w:rFonts w:cstheme="minorHAnsi"/>
          <w:b/>
          <w:bCs/>
          <w:sz w:val="24"/>
          <w:szCs w:val="24"/>
        </w:rPr>
        <w:t>foyers améliorés</w:t>
      </w:r>
      <w:r w:rsidRPr="00051259">
        <w:rPr>
          <w:rFonts w:cstheme="minorHAnsi"/>
          <w:sz w:val="24"/>
          <w:szCs w:val="24"/>
        </w:rPr>
        <w:t>. Ces solutions alignées sur les stratégies nationales (par exemple, les NAMA, les politiques d'accès à l'énergie, etc.) constituent une partie cruciale de la "</w:t>
      </w:r>
      <w:proofErr w:type="spellStart"/>
      <w:r w:rsidRPr="00051259">
        <w:rPr>
          <w:rFonts w:cstheme="minorHAnsi"/>
          <w:sz w:val="24"/>
          <w:szCs w:val="24"/>
        </w:rPr>
        <w:t>décarbonisation</w:t>
      </w:r>
      <w:proofErr w:type="spellEnd"/>
      <w:r w:rsidRPr="00051259">
        <w:rPr>
          <w:rFonts w:cstheme="minorHAnsi"/>
          <w:sz w:val="24"/>
          <w:szCs w:val="24"/>
        </w:rPr>
        <w:t>", tout en répondant aux besoins énergétiques des communautés rurales éloignées, sans accès à l'électricité et qui comptent encore sur la biomasse traditionnelle pour la cuisson.</w:t>
      </w:r>
    </w:p>
    <w:p w14:paraId="05D96465" w14:textId="77777777" w:rsidR="00221991" w:rsidRPr="00051259" w:rsidRDefault="00E9014C" w:rsidP="009771F3">
      <w:pPr>
        <w:autoSpaceDE w:val="0"/>
        <w:autoSpaceDN w:val="0"/>
        <w:jc w:val="both"/>
        <w:rPr>
          <w:rFonts w:cstheme="minorHAnsi"/>
          <w:sz w:val="24"/>
          <w:szCs w:val="24"/>
        </w:rPr>
      </w:pPr>
      <w:r w:rsidRPr="00051259">
        <w:rPr>
          <w:rFonts w:cstheme="minorHAnsi"/>
          <w:sz w:val="24"/>
          <w:szCs w:val="24"/>
        </w:rPr>
        <w:t xml:space="preserve">Ces solutions énergétiques ascendantes utiliseront également une approche intégrée dépassant le secteur de l’énergie et visant à améliorer la résilience aux changements climatiques, à réduire la pauvreté, à accroître l’égalité entre les sexes et à atteindre les objectifs de développement durable. </w:t>
      </w:r>
    </w:p>
    <w:p w14:paraId="7FED2D29" w14:textId="77777777" w:rsidR="00221991" w:rsidRPr="00051259" w:rsidRDefault="00E9014C" w:rsidP="00221991">
      <w:pPr>
        <w:pStyle w:val="Paragraphedeliste"/>
        <w:spacing w:line="240" w:lineRule="auto"/>
        <w:ind w:left="0"/>
        <w:jc w:val="both"/>
        <w:rPr>
          <w:rFonts w:cstheme="minorHAnsi"/>
          <w:sz w:val="24"/>
          <w:szCs w:val="24"/>
        </w:rPr>
      </w:pPr>
      <w:r w:rsidRPr="00051259">
        <w:rPr>
          <w:rFonts w:cstheme="minorHAnsi"/>
          <w:sz w:val="24"/>
          <w:szCs w:val="24"/>
        </w:rPr>
        <w:t xml:space="preserve">Les activités incluront des efforts de renforcement des capacités permettant aux communautés de développer et d’utiliser des </w:t>
      </w:r>
      <w:r w:rsidRPr="00051259">
        <w:rPr>
          <w:rFonts w:cstheme="minorHAnsi"/>
          <w:b/>
          <w:bCs/>
          <w:sz w:val="24"/>
          <w:szCs w:val="24"/>
        </w:rPr>
        <w:t>technologies innovantes</w:t>
      </w:r>
      <w:r w:rsidRPr="00051259">
        <w:rPr>
          <w:rFonts w:cstheme="minorHAnsi"/>
          <w:sz w:val="24"/>
          <w:szCs w:val="24"/>
        </w:rPr>
        <w:t xml:space="preserve"> en fournissant un financement catalytique à travers des subventions versées directement aux Organismes de la Société Civile et aux communautés. </w:t>
      </w:r>
    </w:p>
    <w:p w14:paraId="48EA801F" w14:textId="77777777" w:rsidR="00AF106E" w:rsidRPr="00051259" w:rsidRDefault="00E9014C" w:rsidP="00AF106E">
      <w:pPr>
        <w:spacing w:before="120"/>
        <w:jc w:val="both"/>
        <w:rPr>
          <w:rFonts w:cstheme="minorHAnsi"/>
          <w:sz w:val="24"/>
          <w:szCs w:val="24"/>
        </w:rPr>
      </w:pPr>
      <w:r w:rsidRPr="00051259">
        <w:rPr>
          <w:rFonts w:cstheme="minorHAnsi"/>
          <w:sz w:val="24"/>
          <w:szCs w:val="24"/>
        </w:rPr>
        <w:t xml:space="preserve">Le PMF FEM cherche </w:t>
      </w:r>
      <w:r w:rsidR="0062627D" w:rsidRPr="00051259">
        <w:rPr>
          <w:rFonts w:cstheme="minorHAnsi"/>
          <w:sz w:val="24"/>
          <w:szCs w:val="24"/>
        </w:rPr>
        <w:t>à appuyer</w:t>
      </w:r>
      <w:r w:rsidRPr="00051259">
        <w:rPr>
          <w:rFonts w:cstheme="minorHAnsi"/>
          <w:sz w:val="24"/>
          <w:szCs w:val="24"/>
        </w:rPr>
        <w:t xml:space="preserve"> la mise en </w:t>
      </w:r>
      <w:r w:rsidR="0062627D" w:rsidRPr="00051259">
        <w:rPr>
          <w:rFonts w:cstheme="minorHAnsi"/>
          <w:sz w:val="24"/>
          <w:szCs w:val="24"/>
        </w:rPr>
        <w:t>place de</w:t>
      </w:r>
      <w:r w:rsidRPr="00051259">
        <w:rPr>
          <w:rFonts w:cstheme="minorHAnsi"/>
          <w:sz w:val="24"/>
          <w:szCs w:val="24"/>
        </w:rPr>
        <w:t xml:space="preserve"> technologies et d’approches innovantes avec un appui financier initial et à encourager une </w:t>
      </w:r>
      <w:r w:rsidR="0062627D" w:rsidRPr="00051259">
        <w:rPr>
          <w:rFonts w:cstheme="minorHAnsi"/>
          <w:sz w:val="24"/>
          <w:szCs w:val="24"/>
        </w:rPr>
        <w:t>diffusion plus</w:t>
      </w:r>
      <w:r w:rsidRPr="00051259">
        <w:rPr>
          <w:rFonts w:cstheme="minorHAnsi"/>
          <w:sz w:val="24"/>
          <w:szCs w:val="24"/>
        </w:rPr>
        <w:t xml:space="preserve"> </w:t>
      </w:r>
      <w:r w:rsidR="0062627D" w:rsidRPr="00051259">
        <w:rPr>
          <w:rFonts w:cstheme="minorHAnsi"/>
          <w:sz w:val="24"/>
          <w:szCs w:val="24"/>
        </w:rPr>
        <w:t>large de</w:t>
      </w:r>
      <w:r w:rsidRPr="00051259">
        <w:rPr>
          <w:rFonts w:cstheme="minorHAnsi"/>
          <w:sz w:val="24"/>
          <w:szCs w:val="24"/>
        </w:rPr>
        <w:t xml:space="preserve"> ces technologies et approches pour viser une mise à l’échelle. </w:t>
      </w:r>
    </w:p>
    <w:p w14:paraId="6741F369" w14:textId="77777777" w:rsidR="00AF106E" w:rsidRPr="00051259" w:rsidRDefault="00E9014C" w:rsidP="00AF106E">
      <w:pPr>
        <w:spacing w:before="120"/>
        <w:jc w:val="both"/>
        <w:rPr>
          <w:rFonts w:cstheme="minorHAnsi"/>
          <w:sz w:val="24"/>
          <w:szCs w:val="24"/>
        </w:rPr>
      </w:pPr>
      <w:r w:rsidRPr="00051259">
        <w:rPr>
          <w:rFonts w:cstheme="minorHAnsi"/>
          <w:sz w:val="24"/>
          <w:szCs w:val="24"/>
        </w:rPr>
        <w:t xml:space="preserve">Les solutions énergétiques doivent adresser les obstacles majeurs aux investissements et au financement pour l'accès à l'énergie et l’absence de partage de l'information sur l’alternative et les solutions énergétiques durables disponibles. </w:t>
      </w:r>
    </w:p>
    <w:p w14:paraId="2066F9B1" w14:textId="77777777" w:rsidR="000750D4" w:rsidRPr="00051259" w:rsidRDefault="000750D4" w:rsidP="000750D4">
      <w:pPr>
        <w:pStyle w:val="Paragraphedeliste"/>
        <w:spacing w:before="120"/>
        <w:jc w:val="both"/>
        <w:rPr>
          <w:rFonts w:cstheme="minorHAnsi"/>
          <w:sz w:val="24"/>
          <w:szCs w:val="24"/>
        </w:rPr>
      </w:pPr>
    </w:p>
    <w:p w14:paraId="2985C089" w14:textId="77777777" w:rsidR="00100EEE" w:rsidRPr="00895A8D" w:rsidRDefault="00E33766" w:rsidP="003E38C7">
      <w:pPr>
        <w:pStyle w:val="Paragraphedeliste"/>
        <w:numPr>
          <w:ilvl w:val="0"/>
          <w:numId w:val="25"/>
        </w:numPr>
        <w:spacing w:after="0" w:line="280" w:lineRule="exact"/>
        <w:jc w:val="both"/>
        <w:rPr>
          <w:rFonts w:cstheme="minorHAnsi"/>
          <w:b/>
          <w:sz w:val="24"/>
          <w:szCs w:val="24"/>
        </w:rPr>
      </w:pPr>
      <w:r w:rsidRPr="00895A8D">
        <w:rPr>
          <w:rFonts w:cstheme="minorHAnsi"/>
          <w:b/>
          <w:sz w:val="24"/>
          <w:szCs w:val="24"/>
        </w:rPr>
        <w:t>Pollution marine</w:t>
      </w:r>
    </w:p>
    <w:p w14:paraId="0B381B51" w14:textId="77777777" w:rsidR="003E38C7" w:rsidRPr="00051259" w:rsidRDefault="003E38C7" w:rsidP="00E0495D">
      <w:pPr>
        <w:pStyle w:val="Paragraphedeliste"/>
        <w:spacing w:after="0" w:line="280" w:lineRule="exact"/>
        <w:ind w:left="644"/>
        <w:jc w:val="both"/>
        <w:rPr>
          <w:rFonts w:cstheme="minorHAnsi"/>
          <w:b/>
          <w:sz w:val="24"/>
          <w:szCs w:val="24"/>
        </w:rPr>
      </w:pPr>
    </w:p>
    <w:p w14:paraId="027CBA36" w14:textId="77777777" w:rsidR="00E33766" w:rsidRPr="00E33766" w:rsidRDefault="00E33766" w:rsidP="00E33766">
      <w:pPr>
        <w:spacing w:before="120"/>
        <w:jc w:val="both"/>
        <w:rPr>
          <w:rFonts w:cstheme="minorHAnsi"/>
          <w:sz w:val="24"/>
          <w:szCs w:val="24"/>
        </w:rPr>
      </w:pPr>
      <w:r w:rsidRPr="00E33766">
        <w:rPr>
          <w:rFonts w:cstheme="minorHAnsi"/>
          <w:sz w:val="24"/>
          <w:szCs w:val="24"/>
        </w:rPr>
        <w:t>La pollution marine se retrouve dans tous les océans et mers du monde, même dans les régions les plus reculées. L'augmentation continue de la quantité de déchets solides que produisent les humains et la vitesse très lente à laquelle ces déchets se dégradent entraînent une augmentation progressive de la quantité de déchets qui se trouvent en mer, dans les fonds marins et le long des côtes à travers le monde.</w:t>
      </w:r>
    </w:p>
    <w:p w14:paraId="06005D8C" w14:textId="4F1906CB" w:rsidR="00E33766" w:rsidRPr="00E33766" w:rsidRDefault="00E33766" w:rsidP="004A65B6">
      <w:pPr>
        <w:spacing w:before="120"/>
        <w:jc w:val="both"/>
        <w:rPr>
          <w:rFonts w:cstheme="minorHAnsi"/>
          <w:sz w:val="24"/>
          <w:szCs w:val="24"/>
        </w:rPr>
      </w:pPr>
      <w:r w:rsidRPr="00E33766">
        <w:rPr>
          <w:rFonts w:cstheme="minorHAnsi"/>
          <w:sz w:val="24"/>
          <w:szCs w:val="24"/>
        </w:rPr>
        <w:t xml:space="preserve">Les activités humaines sur terre sont les principales sources de pollution marine. Il s'agit notamment du déversement de déchets le long des côtes, des déchets sur les plages et de la </w:t>
      </w:r>
      <w:r w:rsidRPr="00E33766">
        <w:rPr>
          <w:rFonts w:cstheme="minorHAnsi"/>
          <w:sz w:val="24"/>
          <w:szCs w:val="24"/>
        </w:rPr>
        <w:lastRenderedPageBreak/>
        <w:t>décomposition des navires. Les inondations et d'autres événements liés à l'orage éliminent ces déchets dans la mer où ils coulent ou sont emportés par des courants. Les principales sources maritimes de pollution marine comprennent les engins de pêche abandonnés, les activités d'expédition et le dumping légal et illégal.</w:t>
      </w:r>
    </w:p>
    <w:p w14:paraId="5711729E" w14:textId="77777777" w:rsidR="00E33766" w:rsidRDefault="00E33766" w:rsidP="00E33766">
      <w:pPr>
        <w:spacing w:before="120"/>
        <w:jc w:val="both"/>
        <w:rPr>
          <w:rFonts w:cstheme="minorHAnsi"/>
          <w:sz w:val="24"/>
          <w:szCs w:val="24"/>
        </w:rPr>
      </w:pPr>
      <w:r w:rsidRPr="00E33766">
        <w:rPr>
          <w:rFonts w:cstheme="minorHAnsi"/>
          <w:sz w:val="24"/>
          <w:szCs w:val="24"/>
        </w:rPr>
        <w:t xml:space="preserve">Toute cette pollution provoque de graves pertes économiques. Les communautés côtières sont confrontées à des dépenses accrues en matière de nettoyage des plages, de santé publique et d'élimination des déchets. </w:t>
      </w:r>
    </w:p>
    <w:p w14:paraId="5366EF0E" w14:textId="0E268798" w:rsidR="00E33766" w:rsidRPr="00E33766" w:rsidRDefault="00E33766" w:rsidP="004A65B6">
      <w:pPr>
        <w:spacing w:before="120"/>
        <w:jc w:val="both"/>
        <w:rPr>
          <w:rFonts w:cstheme="minorHAnsi"/>
          <w:sz w:val="24"/>
          <w:szCs w:val="24"/>
        </w:rPr>
      </w:pPr>
      <w:r w:rsidRPr="00E33766">
        <w:rPr>
          <w:rFonts w:cstheme="minorHAnsi"/>
          <w:sz w:val="24"/>
          <w:szCs w:val="24"/>
        </w:rPr>
        <w:t>La pollution marine provoque également une perte de biodiversité et entrave les fonctions et les services de l'écosystème. Les engins de pêche abandonnés peuvent entamer et tuer la vie marine et étouffer les habitats fauniques. Les pesticides et autres toxines adhèrent à de minuscules particules de plastiques rejetés (</w:t>
      </w:r>
      <w:r w:rsidR="007B34B8" w:rsidRPr="00E33766">
        <w:rPr>
          <w:rFonts w:cstheme="minorHAnsi"/>
          <w:sz w:val="24"/>
          <w:szCs w:val="24"/>
        </w:rPr>
        <w:t>micro plastiques</w:t>
      </w:r>
      <w:r w:rsidRPr="00E33766">
        <w:rPr>
          <w:rFonts w:cstheme="minorHAnsi"/>
          <w:sz w:val="24"/>
          <w:szCs w:val="24"/>
        </w:rPr>
        <w:t xml:space="preserve">), qui peuvent être ingérés accidentellement par une petite vie aquatique. Une fois </w:t>
      </w:r>
      <w:proofErr w:type="spellStart"/>
      <w:r w:rsidRPr="00E33766">
        <w:rPr>
          <w:rFonts w:cstheme="minorHAnsi"/>
          <w:sz w:val="24"/>
          <w:szCs w:val="24"/>
        </w:rPr>
        <w:t>ingest</w:t>
      </w:r>
      <w:r w:rsidR="004A65B6">
        <w:rPr>
          <w:rFonts w:cstheme="minorHAnsi"/>
          <w:sz w:val="24"/>
          <w:szCs w:val="24"/>
        </w:rPr>
        <w:t>ées</w:t>
      </w:r>
      <w:proofErr w:type="spellEnd"/>
      <w:r w:rsidRPr="00E33766">
        <w:rPr>
          <w:rFonts w:cstheme="minorHAnsi"/>
          <w:sz w:val="24"/>
          <w:szCs w:val="24"/>
        </w:rPr>
        <w:t>, les toxines se multiplient à mesure qu'elles progressent dans la chaîne alimentaire, s'accumulent dans les oiseaux, la vie marine et éventuellement les humains.</w:t>
      </w:r>
    </w:p>
    <w:p w14:paraId="222C48F0" w14:textId="35CA3FFC" w:rsidR="00782380" w:rsidRPr="00051259" w:rsidRDefault="00E33766" w:rsidP="00895A8D">
      <w:pPr>
        <w:spacing w:before="120"/>
        <w:jc w:val="both"/>
        <w:rPr>
          <w:rFonts w:cstheme="minorHAnsi"/>
          <w:b/>
          <w:sz w:val="24"/>
          <w:szCs w:val="24"/>
        </w:rPr>
      </w:pPr>
      <w:r>
        <w:rPr>
          <w:rFonts w:cstheme="minorHAnsi"/>
          <w:sz w:val="24"/>
          <w:szCs w:val="24"/>
        </w:rPr>
        <w:t>Ainsi dans le cadre de cette composante, les associations et O</w:t>
      </w:r>
      <w:r w:rsidR="007B34B8">
        <w:rPr>
          <w:rFonts w:cstheme="minorHAnsi"/>
          <w:sz w:val="24"/>
          <w:szCs w:val="24"/>
        </w:rPr>
        <w:t>CB</w:t>
      </w:r>
      <w:r>
        <w:rPr>
          <w:rFonts w:cstheme="minorHAnsi"/>
          <w:sz w:val="24"/>
          <w:szCs w:val="24"/>
        </w:rPr>
        <w:t xml:space="preserve"> sont appelé</w:t>
      </w:r>
      <w:r w:rsidR="004A65B6">
        <w:rPr>
          <w:rFonts w:cstheme="minorHAnsi"/>
          <w:sz w:val="24"/>
          <w:szCs w:val="24"/>
        </w:rPr>
        <w:t>e</w:t>
      </w:r>
      <w:r>
        <w:rPr>
          <w:rFonts w:cstheme="minorHAnsi"/>
          <w:sz w:val="24"/>
          <w:szCs w:val="24"/>
        </w:rPr>
        <w:t>s à soumettre des propositions pour lutter contre les sources de ces pollution</w:t>
      </w:r>
      <w:r w:rsidR="004A65B6">
        <w:rPr>
          <w:rFonts w:cstheme="minorHAnsi"/>
          <w:sz w:val="24"/>
          <w:szCs w:val="24"/>
        </w:rPr>
        <w:t>s</w:t>
      </w:r>
      <w:r>
        <w:rPr>
          <w:rFonts w:cstheme="minorHAnsi"/>
          <w:sz w:val="24"/>
          <w:szCs w:val="24"/>
        </w:rPr>
        <w:t>, réduire le niveau des déchets existant</w:t>
      </w:r>
      <w:r w:rsidR="004A65B6">
        <w:rPr>
          <w:rFonts w:cstheme="minorHAnsi"/>
          <w:sz w:val="24"/>
          <w:szCs w:val="24"/>
        </w:rPr>
        <w:t>s</w:t>
      </w:r>
      <w:r>
        <w:rPr>
          <w:rFonts w:cstheme="minorHAnsi"/>
          <w:sz w:val="24"/>
          <w:szCs w:val="24"/>
        </w:rPr>
        <w:t xml:space="preserve">, développer des activités résilientes tel que le recyclage des déchets de manière durable. </w:t>
      </w:r>
    </w:p>
    <w:p w14:paraId="17F6DB82" w14:textId="0F6A39CE" w:rsidR="00B86C33" w:rsidRPr="00051259" w:rsidRDefault="00C7789F">
      <w:pPr>
        <w:shd w:val="clear" w:color="auto" w:fill="FFCCFF"/>
        <w:jc w:val="both"/>
        <w:rPr>
          <w:rFonts w:cstheme="minorHAnsi"/>
          <w:b/>
          <w:bCs/>
          <w:u w:val="single"/>
        </w:rPr>
      </w:pPr>
      <w:r>
        <w:rPr>
          <w:rFonts w:cstheme="minorHAnsi"/>
          <w:b/>
          <w:bCs/>
          <w:u w:val="single"/>
        </w:rPr>
        <w:t>V-</w:t>
      </w:r>
      <w:r w:rsidR="00E9014C" w:rsidRPr="00051259">
        <w:rPr>
          <w:rFonts w:cstheme="minorHAnsi"/>
          <w:b/>
          <w:bCs/>
          <w:u w:val="single"/>
        </w:rPr>
        <w:t>Critères d’éligibilité :</w:t>
      </w:r>
    </w:p>
    <w:p w14:paraId="744FC62B" w14:textId="77777777" w:rsidR="00EA6619" w:rsidRPr="00051259" w:rsidRDefault="00E9014C" w:rsidP="00EA6619">
      <w:pPr>
        <w:spacing w:after="120" w:line="240" w:lineRule="auto"/>
        <w:jc w:val="both"/>
        <w:textAlignment w:val="top"/>
        <w:rPr>
          <w:rStyle w:val="hps"/>
          <w:rFonts w:cstheme="minorHAnsi"/>
          <w:sz w:val="24"/>
          <w:szCs w:val="24"/>
        </w:rPr>
      </w:pPr>
      <w:r w:rsidRPr="00051259">
        <w:rPr>
          <w:rStyle w:val="hps"/>
          <w:rFonts w:cstheme="minorHAnsi"/>
          <w:sz w:val="24"/>
          <w:szCs w:val="24"/>
        </w:rPr>
        <w:t>Les propositions de projets doivent :</w:t>
      </w:r>
    </w:p>
    <w:p w14:paraId="33724573" w14:textId="70EF499C" w:rsidR="00B86C33" w:rsidRPr="00051259" w:rsidRDefault="00CD1990" w:rsidP="00E33766">
      <w:pPr>
        <w:pStyle w:val="Paragraphedeliste"/>
        <w:numPr>
          <w:ilvl w:val="0"/>
          <w:numId w:val="48"/>
        </w:numPr>
        <w:spacing w:after="120" w:line="240" w:lineRule="auto"/>
        <w:jc w:val="both"/>
        <w:textAlignment w:val="top"/>
        <w:rPr>
          <w:rStyle w:val="hps"/>
          <w:rFonts w:cstheme="minorHAnsi"/>
          <w:sz w:val="24"/>
          <w:szCs w:val="24"/>
        </w:rPr>
      </w:pPr>
      <w:r w:rsidRPr="00051259">
        <w:rPr>
          <w:rStyle w:val="hps"/>
          <w:rFonts w:cstheme="minorHAnsi"/>
          <w:sz w:val="24"/>
          <w:szCs w:val="24"/>
        </w:rPr>
        <w:t xml:space="preserve">S’inscrire pleinement dans les lignes directrices </w:t>
      </w:r>
      <w:r w:rsidR="00E33766">
        <w:rPr>
          <w:rStyle w:val="hps"/>
          <w:rFonts w:cstheme="minorHAnsi"/>
          <w:sz w:val="24"/>
          <w:szCs w:val="24"/>
        </w:rPr>
        <w:t>de ce deuxième appel à projet</w:t>
      </w:r>
      <w:r w:rsidR="006F0570">
        <w:rPr>
          <w:rStyle w:val="hps"/>
          <w:rFonts w:cstheme="minorHAnsi"/>
          <w:sz w:val="24"/>
          <w:szCs w:val="24"/>
        </w:rPr>
        <w:t>s</w:t>
      </w:r>
      <w:r w:rsidR="00E33766">
        <w:rPr>
          <w:rStyle w:val="hps"/>
          <w:rFonts w:cstheme="minorHAnsi"/>
          <w:sz w:val="24"/>
          <w:szCs w:val="24"/>
        </w:rPr>
        <w:t xml:space="preserve"> </w:t>
      </w:r>
      <w:r w:rsidR="001A68B0">
        <w:rPr>
          <w:rStyle w:val="hps"/>
          <w:rFonts w:cstheme="minorHAnsi"/>
          <w:sz w:val="24"/>
          <w:szCs w:val="24"/>
        </w:rPr>
        <w:t xml:space="preserve">et </w:t>
      </w:r>
      <w:r w:rsidR="00E33766">
        <w:rPr>
          <w:rStyle w:val="hps"/>
          <w:rFonts w:cstheme="minorHAnsi"/>
          <w:sz w:val="24"/>
          <w:szCs w:val="24"/>
        </w:rPr>
        <w:t xml:space="preserve">mentionnées </w:t>
      </w:r>
      <w:r w:rsidR="00E33766" w:rsidRPr="00895A8D">
        <w:rPr>
          <w:rStyle w:val="hps"/>
          <w:rFonts w:cstheme="minorHAnsi"/>
          <w:sz w:val="24"/>
          <w:szCs w:val="24"/>
        </w:rPr>
        <w:t xml:space="preserve">dans </w:t>
      </w:r>
      <w:r w:rsidR="00112F78" w:rsidRPr="00895A8D">
        <w:rPr>
          <w:rStyle w:val="hps"/>
          <w:rFonts w:cstheme="minorHAnsi"/>
          <w:sz w:val="24"/>
          <w:szCs w:val="24"/>
        </w:rPr>
        <w:t>le paragraphe</w:t>
      </w:r>
      <w:r w:rsidR="00112F78">
        <w:rPr>
          <w:rStyle w:val="hps"/>
          <w:rFonts w:cstheme="minorHAnsi"/>
          <w:sz w:val="24"/>
          <w:szCs w:val="24"/>
        </w:rPr>
        <w:t xml:space="preserve"> IV</w:t>
      </w:r>
    </w:p>
    <w:p w14:paraId="41DF20EC" w14:textId="77777777" w:rsidR="00B86C33" w:rsidRPr="00051259" w:rsidRDefault="00E9014C">
      <w:pPr>
        <w:pStyle w:val="Paragraphedeliste"/>
        <w:numPr>
          <w:ilvl w:val="0"/>
          <w:numId w:val="48"/>
        </w:numPr>
        <w:spacing w:after="120" w:line="240" w:lineRule="auto"/>
        <w:jc w:val="both"/>
        <w:textAlignment w:val="top"/>
        <w:rPr>
          <w:rStyle w:val="hps"/>
          <w:rFonts w:cstheme="minorHAnsi"/>
          <w:sz w:val="24"/>
          <w:szCs w:val="24"/>
        </w:rPr>
      </w:pPr>
      <w:r w:rsidRPr="00051259">
        <w:rPr>
          <w:rStyle w:val="hps"/>
          <w:rFonts w:cstheme="minorHAnsi"/>
          <w:sz w:val="24"/>
          <w:szCs w:val="24"/>
        </w:rPr>
        <w:t xml:space="preserve">Prendre en considération le contexte </w:t>
      </w:r>
      <w:r w:rsidR="00CD1990" w:rsidRPr="00051259">
        <w:rPr>
          <w:rStyle w:val="hps"/>
          <w:rFonts w:cstheme="minorHAnsi"/>
          <w:sz w:val="24"/>
          <w:szCs w:val="24"/>
        </w:rPr>
        <w:t xml:space="preserve">environnemental </w:t>
      </w:r>
      <w:r w:rsidRPr="00051259">
        <w:rPr>
          <w:rStyle w:val="hps"/>
          <w:rFonts w:cstheme="minorHAnsi"/>
          <w:sz w:val="24"/>
          <w:szCs w:val="24"/>
        </w:rPr>
        <w:t>national et être alignées avec les objectifs de la stratégie nationale de l’environnement et du développement durable (SNDD) ;</w:t>
      </w:r>
    </w:p>
    <w:p w14:paraId="27FED6E7" w14:textId="77777777" w:rsidR="00EA6619" w:rsidRPr="00051259" w:rsidRDefault="00E9014C" w:rsidP="007032F4">
      <w:pPr>
        <w:pStyle w:val="Paragraphedeliste"/>
        <w:numPr>
          <w:ilvl w:val="0"/>
          <w:numId w:val="48"/>
        </w:numPr>
        <w:spacing w:after="120" w:line="240" w:lineRule="auto"/>
        <w:jc w:val="both"/>
        <w:textAlignment w:val="top"/>
        <w:rPr>
          <w:rStyle w:val="hps"/>
          <w:rFonts w:cstheme="minorHAnsi"/>
          <w:sz w:val="24"/>
          <w:szCs w:val="24"/>
        </w:rPr>
      </w:pPr>
      <w:r w:rsidRPr="00051259">
        <w:rPr>
          <w:rStyle w:val="hps"/>
          <w:rFonts w:cstheme="minorHAnsi"/>
          <w:sz w:val="24"/>
          <w:szCs w:val="24"/>
        </w:rPr>
        <w:t>être cohérentes et stratégiques ;</w:t>
      </w:r>
    </w:p>
    <w:p w14:paraId="7687153C" w14:textId="26FDB00F" w:rsidR="00B86C33" w:rsidRPr="00051259" w:rsidRDefault="00E9014C" w:rsidP="00C5635E">
      <w:pPr>
        <w:pStyle w:val="Paragraphedeliste"/>
        <w:numPr>
          <w:ilvl w:val="0"/>
          <w:numId w:val="48"/>
        </w:numPr>
        <w:spacing w:after="120" w:line="240" w:lineRule="auto"/>
        <w:jc w:val="both"/>
        <w:textAlignment w:val="top"/>
        <w:rPr>
          <w:rStyle w:val="hps"/>
          <w:rFonts w:cstheme="minorHAnsi"/>
          <w:sz w:val="24"/>
          <w:szCs w:val="24"/>
        </w:rPr>
      </w:pPr>
      <w:r w:rsidRPr="00051259">
        <w:rPr>
          <w:rStyle w:val="hps"/>
          <w:rFonts w:cstheme="minorHAnsi"/>
          <w:sz w:val="24"/>
          <w:szCs w:val="24"/>
        </w:rPr>
        <w:t>être mis</w:t>
      </w:r>
      <w:r w:rsidR="001A68B0">
        <w:rPr>
          <w:rStyle w:val="hps"/>
          <w:rFonts w:cstheme="minorHAnsi"/>
          <w:sz w:val="24"/>
          <w:szCs w:val="24"/>
        </w:rPr>
        <w:t>es</w:t>
      </w:r>
      <w:r w:rsidRPr="00051259">
        <w:rPr>
          <w:rStyle w:val="hps"/>
          <w:rFonts w:cstheme="minorHAnsi"/>
          <w:sz w:val="24"/>
          <w:szCs w:val="24"/>
        </w:rPr>
        <w:t xml:space="preserve"> en œuvre dans les </w:t>
      </w:r>
      <w:r w:rsidR="00CD1990" w:rsidRPr="00051259">
        <w:rPr>
          <w:rStyle w:val="hps"/>
          <w:rFonts w:cstheme="minorHAnsi"/>
          <w:sz w:val="24"/>
          <w:szCs w:val="24"/>
        </w:rPr>
        <w:t xml:space="preserve">paysages </w:t>
      </w:r>
      <w:r w:rsidR="00141E34">
        <w:rPr>
          <w:rStyle w:val="hps"/>
          <w:rFonts w:cstheme="minorHAnsi"/>
          <w:sz w:val="24"/>
          <w:szCs w:val="24"/>
        </w:rPr>
        <w:t xml:space="preserve">marins </w:t>
      </w:r>
      <w:r w:rsidR="00C5635E" w:rsidRPr="00051259">
        <w:rPr>
          <w:rStyle w:val="hps"/>
          <w:rFonts w:cstheme="minorHAnsi"/>
          <w:sz w:val="24"/>
          <w:szCs w:val="24"/>
        </w:rPr>
        <w:t>ayant une importance environnementale mondiale reconnue</w:t>
      </w:r>
      <w:r w:rsidR="001A68B0">
        <w:rPr>
          <w:rStyle w:val="hps"/>
          <w:rFonts w:cstheme="minorHAnsi"/>
          <w:sz w:val="24"/>
          <w:szCs w:val="24"/>
        </w:rPr>
        <w:t xml:space="preserve"> ;</w:t>
      </w:r>
    </w:p>
    <w:p w14:paraId="37469D47" w14:textId="77777777" w:rsidR="00B86C33" w:rsidRPr="00051259" w:rsidRDefault="00E9014C">
      <w:pPr>
        <w:pStyle w:val="Paragraphedeliste"/>
        <w:numPr>
          <w:ilvl w:val="0"/>
          <w:numId w:val="48"/>
        </w:numPr>
        <w:spacing w:after="120" w:line="240" w:lineRule="auto"/>
        <w:jc w:val="both"/>
        <w:textAlignment w:val="top"/>
        <w:rPr>
          <w:rStyle w:val="hps"/>
          <w:rFonts w:cstheme="minorHAnsi"/>
          <w:sz w:val="24"/>
          <w:szCs w:val="24"/>
        </w:rPr>
      </w:pPr>
      <w:r w:rsidRPr="00051259">
        <w:rPr>
          <w:rStyle w:val="hps"/>
          <w:rFonts w:cstheme="minorHAnsi"/>
          <w:sz w:val="24"/>
          <w:szCs w:val="24"/>
        </w:rPr>
        <w:t>associer les organisations locales</w:t>
      </w:r>
      <w:r w:rsidR="00551687" w:rsidRPr="00051259">
        <w:rPr>
          <w:rStyle w:val="hps"/>
          <w:rFonts w:cstheme="minorHAnsi"/>
          <w:sz w:val="24"/>
          <w:szCs w:val="24"/>
        </w:rPr>
        <w:t xml:space="preserve"> et l’administration publique compétente</w:t>
      </w:r>
      <w:r w:rsidR="00CD1990" w:rsidRPr="00051259">
        <w:rPr>
          <w:rStyle w:val="hps"/>
          <w:rFonts w:cstheme="minorHAnsi"/>
          <w:sz w:val="24"/>
          <w:szCs w:val="24"/>
        </w:rPr>
        <w:t xml:space="preserve"> et </w:t>
      </w:r>
      <w:r w:rsidRPr="00051259">
        <w:rPr>
          <w:rStyle w:val="hps"/>
          <w:rFonts w:cstheme="minorHAnsi"/>
          <w:sz w:val="24"/>
          <w:szCs w:val="24"/>
        </w:rPr>
        <w:t>se baser sur les ressources scientifiques et techniques locales ;</w:t>
      </w:r>
    </w:p>
    <w:p w14:paraId="2B0C77A6" w14:textId="77777777" w:rsidR="008553A0" w:rsidRPr="00051259" w:rsidRDefault="008553A0" w:rsidP="008553A0">
      <w:pPr>
        <w:pStyle w:val="Paragraphedeliste"/>
        <w:numPr>
          <w:ilvl w:val="0"/>
          <w:numId w:val="48"/>
        </w:numPr>
        <w:spacing w:after="120" w:line="240" w:lineRule="auto"/>
        <w:jc w:val="both"/>
        <w:textAlignment w:val="top"/>
        <w:rPr>
          <w:rStyle w:val="hps"/>
          <w:rFonts w:cstheme="minorHAnsi"/>
          <w:sz w:val="24"/>
          <w:szCs w:val="24"/>
        </w:rPr>
      </w:pPr>
      <w:r w:rsidRPr="00051259">
        <w:rPr>
          <w:rStyle w:val="hps"/>
          <w:rFonts w:cstheme="minorHAnsi"/>
          <w:sz w:val="24"/>
          <w:szCs w:val="24"/>
        </w:rPr>
        <w:t xml:space="preserve">s’appuyer sur la participation communautaire lors de la conception, de la mise en œuvre et de l‘évaluation des </w:t>
      </w:r>
      <w:r w:rsidR="00162F03" w:rsidRPr="00051259">
        <w:rPr>
          <w:rStyle w:val="hps"/>
          <w:rFonts w:cstheme="minorHAnsi"/>
          <w:sz w:val="24"/>
          <w:szCs w:val="24"/>
        </w:rPr>
        <w:t>projets ;</w:t>
      </w:r>
    </w:p>
    <w:p w14:paraId="1856E064" w14:textId="77777777" w:rsidR="008553A0" w:rsidRPr="00051259" w:rsidRDefault="008553A0" w:rsidP="008553A0">
      <w:pPr>
        <w:pStyle w:val="Paragraphedeliste"/>
        <w:numPr>
          <w:ilvl w:val="0"/>
          <w:numId w:val="48"/>
        </w:numPr>
        <w:spacing w:after="120" w:line="240" w:lineRule="auto"/>
        <w:jc w:val="both"/>
        <w:textAlignment w:val="top"/>
        <w:rPr>
          <w:rStyle w:val="hps"/>
          <w:rFonts w:cstheme="minorHAnsi"/>
          <w:sz w:val="24"/>
          <w:szCs w:val="24"/>
        </w:rPr>
      </w:pPr>
      <w:r w:rsidRPr="00051259">
        <w:rPr>
          <w:rStyle w:val="hps"/>
          <w:rFonts w:cstheme="minorHAnsi"/>
          <w:sz w:val="24"/>
          <w:szCs w:val="24"/>
        </w:rPr>
        <w:t>prendre en considération l’approche genre et impliquer les jeunes ;</w:t>
      </w:r>
    </w:p>
    <w:p w14:paraId="57EB21EF" w14:textId="77777777" w:rsidR="00B86C33" w:rsidRPr="00051259" w:rsidRDefault="00E9014C" w:rsidP="00576CC7">
      <w:pPr>
        <w:pStyle w:val="Paragraphedeliste"/>
        <w:numPr>
          <w:ilvl w:val="0"/>
          <w:numId w:val="48"/>
        </w:numPr>
        <w:spacing w:after="120" w:line="240" w:lineRule="auto"/>
        <w:jc w:val="both"/>
        <w:textAlignment w:val="top"/>
        <w:rPr>
          <w:rStyle w:val="hps"/>
          <w:rFonts w:cstheme="minorHAnsi"/>
          <w:sz w:val="24"/>
          <w:szCs w:val="24"/>
        </w:rPr>
      </w:pPr>
      <w:r w:rsidRPr="00051259">
        <w:rPr>
          <w:rStyle w:val="hps"/>
          <w:rFonts w:cstheme="minorHAnsi"/>
          <w:sz w:val="24"/>
          <w:szCs w:val="24"/>
        </w:rPr>
        <w:t xml:space="preserve">avoir un impact évident </w:t>
      </w:r>
      <w:r w:rsidR="008553A0" w:rsidRPr="00051259">
        <w:rPr>
          <w:rStyle w:val="hps"/>
          <w:rFonts w:cstheme="minorHAnsi"/>
          <w:sz w:val="24"/>
          <w:szCs w:val="24"/>
        </w:rPr>
        <w:t>sur</w:t>
      </w:r>
      <w:r w:rsidRPr="00051259">
        <w:rPr>
          <w:rStyle w:val="hps"/>
          <w:rFonts w:cstheme="minorHAnsi"/>
          <w:sz w:val="24"/>
          <w:szCs w:val="24"/>
        </w:rPr>
        <w:t xml:space="preserve"> la communauté</w:t>
      </w:r>
      <w:r w:rsidR="008553A0" w:rsidRPr="00051259">
        <w:rPr>
          <w:rStyle w:val="hps"/>
          <w:rFonts w:cstheme="minorHAnsi"/>
          <w:sz w:val="24"/>
          <w:szCs w:val="24"/>
        </w:rPr>
        <w:t xml:space="preserve"> et sur la conservation des paysages </w:t>
      </w:r>
    </w:p>
    <w:p w14:paraId="7281C435" w14:textId="77777777" w:rsidR="00576CC7" w:rsidRPr="00051259" w:rsidRDefault="00576CC7">
      <w:pPr>
        <w:pStyle w:val="Paragraphedeliste"/>
        <w:numPr>
          <w:ilvl w:val="0"/>
          <w:numId w:val="48"/>
        </w:numPr>
        <w:spacing w:after="120" w:line="240" w:lineRule="auto"/>
        <w:jc w:val="both"/>
        <w:textAlignment w:val="top"/>
        <w:rPr>
          <w:rStyle w:val="hps"/>
          <w:rFonts w:cstheme="minorHAnsi"/>
          <w:sz w:val="24"/>
          <w:szCs w:val="24"/>
        </w:rPr>
      </w:pPr>
      <w:r w:rsidRPr="00051259">
        <w:rPr>
          <w:rStyle w:val="hps"/>
          <w:rFonts w:cstheme="minorHAnsi"/>
          <w:sz w:val="24"/>
          <w:szCs w:val="24"/>
        </w:rPr>
        <w:t>contribuer avec un cofinancement en nature et en numéraire</w:t>
      </w:r>
    </w:p>
    <w:p w14:paraId="77512527" w14:textId="6D57F13C" w:rsidR="00BE0A33" w:rsidRPr="00051259" w:rsidRDefault="00BE0A33">
      <w:pPr>
        <w:pStyle w:val="Paragraphedeliste"/>
        <w:numPr>
          <w:ilvl w:val="0"/>
          <w:numId w:val="48"/>
        </w:numPr>
        <w:spacing w:after="120" w:line="240" w:lineRule="auto"/>
        <w:jc w:val="both"/>
        <w:textAlignment w:val="top"/>
        <w:rPr>
          <w:rStyle w:val="hps"/>
          <w:rFonts w:cstheme="minorHAnsi"/>
          <w:sz w:val="24"/>
          <w:szCs w:val="24"/>
        </w:rPr>
      </w:pPr>
      <w:r w:rsidRPr="00051259">
        <w:rPr>
          <w:rStyle w:val="hps"/>
          <w:rFonts w:cstheme="minorHAnsi"/>
          <w:sz w:val="24"/>
          <w:szCs w:val="24"/>
        </w:rPr>
        <w:t xml:space="preserve">Avoir un ancrage institutionnel </w:t>
      </w:r>
      <w:r w:rsidR="00E33766">
        <w:rPr>
          <w:rStyle w:val="hps"/>
          <w:rFonts w:cstheme="minorHAnsi"/>
          <w:sz w:val="24"/>
          <w:szCs w:val="24"/>
        </w:rPr>
        <w:t xml:space="preserve">(partenariat avec </w:t>
      </w:r>
      <w:r w:rsidRPr="00051259">
        <w:rPr>
          <w:rStyle w:val="hps"/>
          <w:rFonts w:cstheme="minorHAnsi"/>
          <w:sz w:val="24"/>
          <w:szCs w:val="24"/>
        </w:rPr>
        <w:t>institutions de recherche, administration, organisations internationale</w:t>
      </w:r>
      <w:r w:rsidR="001A68B0">
        <w:rPr>
          <w:rStyle w:val="hps"/>
          <w:rFonts w:cstheme="minorHAnsi"/>
          <w:sz w:val="24"/>
          <w:szCs w:val="24"/>
        </w:rPr>
        <w:t>s</w:t>
      </w:r>
      <w:r w:rsidRPr="00051259">
        <w:rPr>
          <w:rStyle w:val="hps"/>
          <w:rFonts w:cstheme="minorHAnsi"/>
          <w:sz w:val="24"/>
          <w:szCs w:val="24"/>
        </w:rPr>
        <w:t>)</w:t>
      </w:r>
    </w:p>
    <w:p w14:paraId="7F0B4BC4" w14:textId="6D7CC10D" w:rsidR="00B86C33" w:rsidRPr="00051259" w:rsidRDefault="00C7789F">
      <w:pPr>
        <w:shd w:val="clear" w:color="auto" w:fill="FFCCFF"/>
        <w:jc w:val="both"/>
        <w:rPr>
          <w:rFonts w:cstheme="minorHAnsi"/>
          <w:b/>
          <w:bCs/>
          <w:u w:val="single"/>
        </w:rPr>
      </w:pPr>
      <w:r>
        <w:rPr>
          <w:rFonts w:cstheme="minorHAnsi"/>
          <w:b/>
          <w:bCs/>
          <w:u w:val="single"/>
        </w:rPr>
        <w:lastRenderedPageBreak/>
        <w:t>VI-</w:t>
      </w:r>
      <w:r w:rsidR="00E9014C" w:rsidRPr="00051259">
        <w:rPr>
          <w:rFonts w:cstheme="minorHAnsi"/>
          <w:b/>
          <w:bCs/>
          <w:u w:val="single"/>
        </w:rPr>
        <w:t>Budget</w:t>
      </w:r>
    </w:p>
    <w:p w14:paraId="6F668F1E" w14:textId="77777777" w:rsidR="00B86C33" w:rsidRPr="00051259" w:rsidRDefault="00E9014C" w:rsidP="00051259">
      <w:pPr>
        <w:spacing w:line="240" w:lineRule="auto"/>
        <w:jc w:val="both"/>
        <w:rPr>
          <w:rFonts w:cstheme="minorHAnsi"/>
          <w:sz w:val="24"/>
          <w:szCs w:val="24"/>
        </w:rPr>
      </w:pPr>
      <w:r w:rsidRPr="00051259">
        <w:rPr>
          <w:rFonts w:cstheme="minorHAnsi"/>
          <w:sz w:val="24"/>
          <w:szCs w:val="24"/>
        </w:rPr>
        <w:t>L’octroi de subventions dans le cadre de cet appel à projets suivra les lignes directrices opérationnelles du PMF FEM, et le montant maximal de la subvention pour chaque projet ne doit pas dépasser la limite de 50.000 USD. Le plafond de financement ne sera accordé qu’à des projets ayant une portée importante. La</w:t>
      </w:r>
      <w:r w:rsidR="00BE0A33" w:rsidRPr="00051259">
        <w:rPr>
          <w:rFonts w:cstheme="minorHAnsi"/>
          <w:sz w:val="24"/>
          <w:szCs w:val="24"/>
        </w:rPr>
        <w:t xml:space="preserve"> moyenne de financement est de 2</w:t>
      </w:r>
      <w:r w:rsidRPr="00051259">
        <w:rPr>
          <w:rFonts w:cstheme="minorHAnsi"/>
          <w:sz w:val="24"/>
          <w:szCs w:val="24"/>
        </w:rPr>
        <w:t xml:space="preserve">5.000 USD. </w:t>
      </w:r>
      <w:r w:rsidR="00051259">
        <w:rPr>
          <w:rFonts w:cstheme="minorHAnsi"/>
          <w:sz w:val="24"/>
          <w:szCs w:val="24"/>
        </w:rPr>
        <w:t>Des subventions de 2500 à 5000 USD peuvent être proposées par les</w:t>
      </w:r>
      <w:r w:rsidR="00551687" w:rsidRPr="00051259">
        <w:rPr>
          <w:rFonts w:cstheme="minorHAnsi"/>
          <w:sz w:val="24"/>
          <w:szCs w:val="24"/>
        </w:rPr>
        <w:t xml:space="preserve"> associations/GDA/</w:t>
      </w:r>
      <w:r w:rsidR="00DB7925" w:rsidRPr="00051259">
        <w:rPr>
          <w:rFonts w:cstheme="minorHAnsi"/>
          <w:sz w:val="24"/>
          <w:szCs w:val="24"/>
        </w:rPr>
        <w:t>SMSA de base</w:t>
      </w:r>
      <w:r w:rsidR="00051259">
        <w:rPr>
          <w:rFonts w:cstheme="minorHAnsi"/>
          <w:sz w:val="24"/>
          <w:szCs w:val="24"/>
        </w:rPr>
        <w:t xml:space="preserve"> pour</w:t>
      </w:r>
      <w:r w:rsidR="00551687" w:rsidRPr="00051259">
        <w:rPr>
          <w:rFonts w:cstheme="minorHAnsi"/>
          <w:sz w:val="24"/>
          <w:szCs w:val="24"/>
        </w:rPr>
        <w:t xml:space="preserve"> l’élaboration de </w:t>
      </w:r>
      <w:r w:rsidR="00DB7925" w:rsidRPr="00051259">
        <w:rPr>
          <w:rFonts w:cstheme="minorHAnsi"/>
          <w:sz w:val="24"/>
          <w:szCs w:val="24"/>
        </w:rPr>
        <w:t>leur cadre stratégique</w:t>
      </w:r>
      <w:r w:rsidR="00051259">
        <w:rPr>
          <w:rFonts w:cstheme="minorHAnsi"/>
          <w:sz w:val="24"/>
          <w:szCs w:val="24"/>
        </w:rPr>
        <w:t>/études</w:t>
      </w:r>
      <w:r w:rsidR="00DB7925" w:rsidRPr="00051259">
        <w:rPr>
          <w:rFonts w:cstheme="minorHAnsi"/>
          <w:sz w:val="24"/>
          <w:szCs w:val="24"/>
        </w:rPr>
        <w:t xml:space="preserve"> ou pour des projets de renforcement des capacités</w:t>
      </w:r>
      <w:r w:rsidR="00551687" w:rsidRPr="00051259">
        <w:rPr>
          <w:rFonts w:cstheme="minorHAnsi"/>
          <w:sz w:val="24"/>
          <w:szCs w:val="24"/>
        </w:rPr>
        <w:t>.</w:t>
      </w:r>
    </w:p>
    <w:p w14:paraId="4C8D67E9" w14:textId="77777777" w:rsidR="00F5202C" w:rsidRPr="00051259" w:rsidRDefault="00E9014C" w:rsidP="00203789">
      <w:pPr>
        <w:spacing w:line="240" w:lineRule="auto"/>
        <w:jc w:val="both"/>
        <w:rPr>
          <w:rFonts w:cstheme="minorHAnsi"/>
          <w:sz w:val="24"/>
          <w:szCs w:val="24"/>
        </w:rPr>
      </w:pPr>
      <w:r w:rsidRPr="00051259">
        <w:rPr>
          <w:rFonts w:cstheme="minorHAnsi"/>
          <w:sz w:val="24"/>
          <w:szCs w:val="24"/>
        </w:rPr>
        <w:t>Le PMF/FEM applique le principe du cofinancement entre les partenaires pertinents du projet (y compris l’apport de l’ONG, le bénévolat..). Un cofinancement en</w:t>
      </w:r>
      <w:r w:rsidR="00551687" w:rsidRPr="00051259">
        <w:rPr>
          <w:rFonts w:cstheme="minorHAnsi"/>
          <w:sz w:val="24"/>
          <w:szCs w:val="24"/>
        </w:rPr>
        <w:t xml:space="preserve"> nature et en espèces est exigé et doit être spécifié dans la fiche de projet.</w:t>
      </w:r>
    </w:p>
    <w:p w14:paraId="67D832C7" w14:textId="77777777" w:rsidR="00F5202C" w:rsidRPr="00051259" w:rsidRDefault="00F5202C" w:rsidP="00986983">
      <w:pPr>
        <w:spacing w:after="0"/>
        <w:jc w:val="both"/>
        <w:rPr>
          <w:rFonts w:cstheme="minorHAnsi"/>
          <w:b/>
          <w:sz w:val="24"/>
          <w:szCs w:val="24"/>
        </w:rPr>
      </w:pPr>
    </w:p>
    <w:p w14:paraId="6C20F407" w14:textId="66071099" w:rsidR="00B86C33" w:rsidRPr="00051259" w:rsidRDefault="00C7789F">
      <w:pPr>
        <w:shd w:val="clear" w:color="auto" w:fill="FFCCFF"/>
        <w:jc w:val="both"/>
        <w:rPr>
          <w:rFonts w:cstheme="minorHAnsi"/>
          <w:b/>
          <w:bCs/>
          <w:u w:val="single"/>
        </w:rPr>
      </w:pPr>
      <w:r>
        <w:rPr>
          <w:rFonts w:cstheme="minorHAnsi"/>
          <w:b/>
          <w:bCs/>
          <w:u w:val="single"/>
        </w:rPr>
        <w:t>VII-</w:t>
      </w:r>
      <w:r w:rsidR="00E9014C" w:rsidRPr="00051259">
        <w:rPr>
          <w:rFonts w:cstheme="minorHAnsi"/>
          <w:b/>
          <w:bCs/>
          <w:u w:val="single"/>
        </w:rPr>
        <w:t xml:space="preserve">Durée des projets </w:t>
      </w:r>
    </w:p>
    <w:p w14:paraId="473E946C" w14:textId="772C90A2" w:rsidR="00E0255C" w:rsidRPr="00051259" w:rsidRDefault="00E9014C" w:rsidP="001A68B0">
      <w:pPr>
        <w:spacing w:line="240" w:lineRule="auto"/>
        <w:jc w:val="both"/>
        <w:rPr>
          <w:rFonts w:cstheme="minorHAnsi"/>
          <w:sz w:val="24"/>
          <w:szCs w:val="24"/>
        </w:rPr>
      </w:pPr>
      <w:r w:rsidRPr="00051259">
        <w:rPr>
          <w:rFonts w:cstheme="minorHAnsi"/>
          <w:sz w:val="24"/>
          <w:szCs w:val="24"/>
        </w:rPr>
        <w:t xml:space="preserve">La durée de chaque projet </w:t>
      </w:r>
      <w:r w:rsidR="00BE2473" w:rsidRPr="00051259">
        <w:rPr>
          <w:rFonts w:cstheme="minorHAnsi"/>
          <w:sz w:val="24"/>
          <w:szCs w:val="24"/>
        </w:rPr>
        <w:t>est de 18 mois</w:t>
      </w:r>
      <w:r w:rsidR="001A68B0">
        <w:rPr>
          <w:rFonts w:cstheme="minorHAnsi"/>
          <w:sz w:val="24"/>
          <w:szCs w:val="24"/>
        </w:rPr>
        <w:t xml:space="preserve">, </w:t>
      </w:r>
      <w:r w:rsidR="001A68B0" w:rsidRPr="00051259">
        <w:rPr>
          <w:rFonts w:cstheme="minorHAnsi"/>
          <w:sz w:val="24"/>
          <w:szCs w:val="24"/>
        </w:rPr>
        <w:t>en moyenne</w:t>
      </w:r>
      <w:r w:rsidR="001A68B0">
        <w:rPr>
          <w:rFonts w:cstheme="minorHAnsi"/>
          <w:sz w:val="24"/>
          <w:szCs w:val="24"/>
        </w:rPr>
        <w:t>,</w:t>
      </w:r>
      <w:r w:rsidR="00BE2473" w:rsidRPr="00051259">
        <w:rPr>
          <w:rFonts w:cstheme="minorHAnsi"/>
          <w:sz w:val="24"/>
          <w:szCs w:val="24"/>
        </w:rPr>
        <w:t xml:space="preserve"> et </w:t>
      </w:r>
      <w:r w:rsidRPr="00051259">
        <w:rPr>
          <w:rFonts w:cstheme="minorHAnsi"/>
          <w:sz w:val="24"/>
          <w:szCs w:val="24"/>
        </w:rPr>
        <w:t xml:space="preserve">ne doit pas dépasser 24 mois. </w:t>
      </w:r>
    </w:p>
    <w:p w14:paraId="46D0D205" w14:textId="77777777" w:rsidR="00E0255C" w:rsidRPr="00051259" w:rsidRDefault="00E0255C" w:rsidP="00E0255C">
      <w:pPr>
        <w:spacing w:after="0"/>
        <w:jc w:val="both"/>
        <w:rPr>
          <w:rFonts w:cstheme="minorHAnsi"/>
          <w:sz w:val="24"/>
          <w:szCs w:val="24"/>
        </w:rPr>
      </w:pPr>
    </w:p>
    <w:p w14:paraId="5415DB0A" w14:textId="3814A79B" w:rsidR="00B86C33" w:rsidRPr="00051259" w:rsidRDefault="00C7789F">
      <w:pPr>
        <w:shd w:val="clear" w:color="auto" w:fill="FFCCFF"/>
        <w:jc w:val="both"/>
        <w:rPr>
          <w:rFonts w:cstheme="minorHAnsi"/>
          <w:b/>
          <w:bCs/>
          <w:u w:val="single"/>
        </w:rPr>
      </w:pPr>
      <w:r>
        <w:rPr>
          <w:rFonts w:cstheme="minorHAnsi"/>
          <w:b/>
          <w:bCs/>
          <w:u w:val="single"/>
        </w:rPr>
        <w:t>VIII-</w:t>
      </w:r>
      <w:r w:rsidR="00E74693" w:rsidRPr="00051259">
        <w:rPr>
          <w:rFonts w:cstheme="minorHAnsi"/>
          <w:b/>
          <w:bCs/>
          <w:u w:val="single"/>
        </w:rPr>
        <w:t>M</w:t>
      </w:r>
      <w:r w:rsidR="00E9014C" w:rsidRPr="00051259">
        <w:rPr>
          <w:rFonts w:cstheme="minorHAnsi"/>
          <w:b/>
          <w:bCs/>
          <w:u w:val="single"/>
        </w:rPr>
        <w:t xml:space="preserve">odalités de soumission </w:t>
      </w:r>
    </w:p>
    <w:p w14:paraId="6580E493" w14:textId="7C2C548D" w:rsidR="004E275F" w:rsidRDefault="00E9014C" w:rsidP="00112F78">
      <w:pPr>
        <w:spacing w:line="240" w:lineRule="auto"/>
        <w:jc w:val="both"/>
        <w:rPr>
          <w:rFonts w:cstheme="minorHAnsi"/>
          <w:sz w:val="24"/>
          <w:szCs w:val="24"/>
        </w:rPr>
      </w:pPr>
      <w:r w:rsidRPr="00051259">
        <w:rPr>
          <w:rFonts w:cstheme="minorHAnsi"/>
          <w:sz w:val="24"/>
          <w:szCs w:val="24"/>
        </w:rPr>
        <w:t>Les propositions complètes doivent être reçues au plus tard le</w:t>
      </w:r>
      <w:r w:rsidR="00112F78">
        <w:rPr>
          <w:rFonts w:cstheme="minorHAnsi"/>
          <w:sz w:val="24"/>
          <w:szCs w:val="24"/>
        </w:rPr>
        <w:t xml:space="preserve"> 30</w:t>
      </w:r>
      <w:r w:rsidR="00551687" w:rsidRPr="00051259">
        <w:rPr>
          <w:rFonts w:cstheme="minorHAnsi"/>
          <w:sz w:val="24"/>
          <w:szCs w:val="24"/>
        </w:rPr>
        <w:t xml:space="preserve"> jui</w:t>
      </w:r>
      <w:r w:rsidR="00112F78">
        <w:rPr>
          <w:rFonts w:cstheme="minorHAnsi"/>
          <w:sz w:val="24"/>
          <w:szCs w:val="24"/>
        </w:rPr>
        <w:t>n</w:t>
      </w:r>
      <w:r w:rsidR="00C67607">
        <w:rPr>
          <w:rFonts w:cstheme="minorHAnsi"/>
          <w:sz w:val="24"/>
          <w:szCs w:val="24"/>
        </w:rPr>
        <w:t xml:space="preserve"> 2019</w:t>
      </w:r>
      <w:r w:rsidR="00112F78">
        <w:rPr>
          <w:rFonts w:cstheme="minorHAnsi"/>
          <w:sz w:val="24"/>
          <w:szCs w:val="24"/>
        </w:rPr>
        <w:t>, à 1</w:t>
      </w:r>
      <w:r w:rsidR="00141E34">
        <w:rPr>
          <w:rFonts w:cstheme="minorHAnsi"/>
          <w:sz w:val="24"/>
          <w:szCs w:val="24"/>
        </w:rPr>
        <w:t>6</w:t>
      </w:r>
      <w:r w:rsidRPr="00051259">
        <w:rPr>
          <w:rFonts w:cstheme="minorHAnsi"/>
          <w:sz w:val="24"/>
          <w:szCs w:val="24"/>
        </w:rPr>
        <w:t>h00</w:t>
      </w:r>
      <w:r w:rsidR="008609F7" w:rsidRPr="00051259">
        <w:rPr>
          <w:rFonts w:cstheme="minorHAnsi"/>
          <w:sz w:val="24"/>
          <w:szCs w:val="24"/>
        </w:rPr>
        <w:t>, par e</w:t>
      </w:r>
      <w:r w:rsidRPr="00051259">
        <w:rPr>
          <w:rFonts w:cstheme="minorHAnsi"/>
          <w:sz w:val="24"/>
          <w:szCs w:val="24"/>
        </w:rPr>
        <w:t xml:space="preserve">mail à l’adresse suivante : </w:t>
      </w:r>
      <w:hyperlink r:id="rId10" w:history="1">
        <w:r w:rsidR="00551687" w:rsidRPr="00115028">
          <w:rPr>
            <w:rFonts w:cstheme="minorHAnsi"/>
            <w:sz w:val="24"/>
            <w:szCs w:val="24"/>
          </w:rPr>
          <w:t>sgptunisia@unops.org</w:t>
        </w:r>
      </w:hyperlink>
      <w:r w:rsidR="00551687" w:rsidRPr="00051259">
        <w:rPr>
          <w:rFonts w:cstheme="minorHAnsi"/>
          <w:sz w:val="24"/>
          <w:szCs w:val="24"/>
        </w:rPr>
        <w:t xml:space="preserve"> et </w:t>
      </w:r>
      <w:r w:rsidRPr="00051259">
        <w:rPr>
          <w:rFonts w:cstheme="minorHAnsi"/>
          <w:sz w:val="24"/>
          <w:szCs w:val="24"/>
        </w:rPr>
        <w:t xml:space="preserve">par voie postale à l’adresse suivante : </w:t>
      </w:r>
      <w:r w:rsidR="00112F78">
        <w:rPr>
          <w:rFonts w:cstheme="minorHAnsi"/>
          <w:sz w:val="24"/>
          <w:szCs w:val="24"/>
        </w:rPr>
        <w:t>PNUD</w:t>
      </w:r>
      <w:r w:rsidR="004E275F">
        <w:rPr>
          <w:rFonts w:cstheme="minorHAnsi"/>
          <w:sz w:val="24"/>
          <w:szCs w:val="24"/>
        </w:rPr>
        <w:t>,</w:t>
      </w:r>
      <w:r w:rsidR="00112F78" w:rsidRPr="00112F78">
        <w:rPr>
          <w:rFonts w:cstheme="minorHAnsi"/>
          <w:sz w:val="24"/>
          <w:szCs w:val="24"/>
        </w:rPr>
        <w:t xml:space="preserve"> Rue du Lac Windermere, Immeuble le Prestige Business Center,</w:t>
      </w:r>
      <w:r w:rsidR="00112F78">
        <w:rPr>
          <w:rFonts w:cstheme="minorHAnsi"/>
          <w:sz w:val="24"/>
          <w:szCs w:val="24"/>
        </w:rPr>
        <w:t xml:space="preserve"> Tour D</w:t>
      </w:r>
      <w:r w:rsidR="00112F78" w:rsidRPr="00112F78">
        <w:rPr>
          <w:rFonts w:cstheme="minorHAnsi"/>
          <w:sz w:val="24"/>
          <w:szCs w:val="24"/>
        </w:rPr>
        <w:t>,</w:t>
      </w:r>
      <w:r w:rsidR="00112F78">
        <w:rPr>
          <w:rFonts w:cstheme="minorHAnsi"/>
          <w:sz w:val="24"/>
          <w:szCs w:val="24"/>
        </w:rPr>
        <w:t xml:space="preserve"> Deuxième étage</w:t>
      </w:r>
      <w:r w:rsidR="00112F78" w:rsidRPr="00112F78">
        <w:rPr>
          <w:rFonts w:cstheme="minorHAnsi"/>
          <w:sz w:val="24"/>
          <w:szCs w:val="24"/>
        </w:rPr>
        <w:t xml:space="preserve"> Les Berges du Lac 1053, Tunis, Tunisie</w:t>
      </w:r>
      <w:r w:rsidR="00112F78">
        <w:rPr>
          <w:rFonts w:cstheme="minorHAnsi"/>
          <w:sz w:val="24"/>
          <w:szCs w:val="24"/>
        </w:rPr>
        <w:t xml:space="preserve"> </w:t>
      </w:r>
    </w:p>
    <w:p w14:paraId="1CCDC25B" w14:textId="77777777" w:rsidR="00B204AA" w:rsidRPr="00051259" w:rsidRDefault="00DB7925" w:rsidP="00112F78">
      <w:pPr>
        <w:spacing w:line="240" w:lineRule="auto"/>
        <w:jc w:val="both"/>
        <w:rPr>
          <w:rFonts w:cstheme="minorHAnsi"/>
          <w:sz w:val="24"/>
          <w:szCs w:val="24"/>
        </w:rPr>
      </w:pPr>
      <w:proofErr w:type="gramStart"/>
      <w:r w:rsidRPr="00051259">
        <w:rPr>
          <w:rFonts w:cstheme="minorHAnsi"/>
          <w:sz w:val="24"/>
          <w:szCs w:val="24"/>
        </w:rPr>
        <w:t>avec</w:t>
      </w:r>
      <w:proofErr w:type="gramEnd"/>
      <w:r w:rsidRPr="00051259">
        <w:rPr>
          <w:rFonts w:cstheme="minorHAnsi"/>
          <w:sz w:val="24"/>
          <w:szCs w:val="24"/>
        </w:rPr>
        <w:t xml:space="preserve"> la mention suivante : </w:t>
      </w:r>
      <w:r w:rsidRPr="00112F78">
        <w:rPr>
          <w:rFonts w:cstheme="minorHAnsi"/>
          <w:sz w:val="24"/>
          <w:szCs w:val="24"/>
        </w:rPr>
        <w:t>Ne pas ouvrir</w:t>
      </w:r>
      <w:r w:rsidRPr="00051259">
        <w:rPr>
          <w:rFonts w:cstheme="minorHAnsi"/>
          <w:sz w:val="24"/>
          <w:szCs w:val="24"/>
        </w:rPr>
        <w:t xml:space="preserve"> </w:t>
      </w:r>
      <w:r w:rsidR="004E275F">
        <w:rPr>
          <w:rFonts w:cstheme="minorHAnsi"/>
          <w:sz w:val="24"/>
          <w:szCs w:val="24"/>
        </w:rPr>
        <w:t>TUN/SGP/OP6/CORE/2</w:t>
      </w:r>
    </w:p>
    <w:p w14:paraId="1CA5E691" w14:textId="17783EF0" w:rsidR="00E0255C" w:rsidRPr="00051259" w:rsidRDefault="00E9014C" w:rsidP="00594C7C">
      <w:pPr>
        <w:spacing w:after="0"/>
        <w:jc w:val="both"/>
        <w:rPr>
          <w:rFonts w:cstheme="minorHAnsi"/>
          <w:sz w:val="24"/>
          <w:szCs w:val="24"/>
        </w:rPr>
      </w:pPr>
      <w:r w:rsidRPr="00051259">
        <w:rPr>
          <w:rFonts w:cstheme="minorHAnsi"/>
          <w:sz w:val="24"/>
          <w:szCs w:val="24"/>
        </w:rPr>
        <w:t xml:space="preserve">Le dossier de candidature </w:t>
      </w:r>
      <w:r w:rsidR="001A68B0">
        <w:rPr>
          <w:rFonts w:cstheme="minorHAnsi"/>
          <w:sz w:val="24"/>
          <w:szCs w:val="24"/>
        </w:rPr>
        <w:t>doit comporter l</w:t>
      </w:r>
      <w:r w:rsidRPr="00051259">
        <w:rPr>
          <w:rFonts w:cstheme="minorHAnsi"/>
          <w:sz w:val="24"/>
          <w:szCs w:val="24"/>
        </w:rPr>
        <w:t xml:space="preserve">es </w:t>
      </w:r>
      <w:r w:rsidR="001A68B0">
        <w:rPr>
          <w:rFonts w:cstheme="minorHAnsi"/>
          <w:sz w:val="24"/>
          <w:szCs w:val="24"/>
        </w:rPr>
        <w:t>documents</w:t>
      </w:r>
      <w:r w:rsidR="001A68B0" w:rsidRPr="00051259">
        <w:rPr>
          <w:rFonts w:cstheme="minorHAnsi"/>
          <w:sz w:val="24"/>
          <w:szCs w:val="24"/>
        </w:rPr>
        <w:t xml:space="preserve"> </w:t>
      </w:r>
      <w:r w:rsidRPr="00051259">
        <w:rPr>
          <w:rFonts w:cstheme="minorHAnsi"/>
          <w:sz w:val="24"/>
          <w:szCs w:val="24"/>
        </w:rPr>
        <w:t xml:space="preserve">suivants : </w:t>
      </w:r>
    </w:p>
    <w:p w14:paraId="238B036C" w14:textId="5723BC34" w:rsidR="00E0255C" w:rsidRPr="00051259" w:rsidRDefault="00E9014C" w:rsidP="00141E34">
      <w:pPr>
        <w:pStyle w:val="Paragraphedeliste"/>
        <w:numPr>
          <w:ilvl w:val="0"/>
          <w:numId w:val="9"/>
        </w:numPr>
        <w:spacing w:after="0"/>
        <w:jc w:val="both"/>
        <w:rPr>
          <w:rFonts w:cstheme="minorHAnsi"/>
          <w:sz w:val="24"/>
          <w:szCs w:val="24"/>
        </w:rPr>
      </w:pPr>
      <w:r w:rsidRPr="00051259">
        <w:rPr>
          <w:rFonts w:cstheme="minorHAnsi"/>
          <w:sz w:val="24"/>
          <w:szCs w:val="24"/>
        </w:rPr>
        <w:t xml:space="preserve">Le formulaire </w:t>
      </w:r>
      <w:r w:rsidR="00141E34">
        <w:rPr>
          <w:rFonts w:cstheme="minorHAnsi"/>
          <w:sz w:val="24"/>
          <w:szCs w:val="24"/>
        </w:rPr>
        <w:t xml:space="preserve">annexe 1 </w:t>
      </w:r>
      <w:r w:rsidRPr="00051259">
        <w:rPr>
          <w:rFonts w:cstheme="minorHAnsi"/>
          <w:sz w:val="24"/>
          <w:szCs w:val="24"/>
        </w:rPr>
        <w:t>ci-joint dûment complété</w:t>
      </w:r>
      <w:r w:rsidR="00BE2473" w:rsidRPr="00051259">
        <w:rPr>
          <w:rFonts w:cstheme="minorHAnsi"/>
          <w:sz w:val="24"/>
          <w:szCs w:val="24"/>
        </w:rPr>
        <w:t xml:space="preserve"> </w:t>
      </w:r>
    </w:p>
    <w:p w14:paraId="270F094C" w14:textId="77777777" w:rsidR="00EA6619" w:rsidRPr="00051259" w:rsidRDefault="00E9014C" w:rsidP="00BE2473">
      <w:pPr>
        <w:pStyle w:val="Paragraphedeliste"/>
        <w:numPr>
          <w:ilvl w:val="0"/>
          <w:numId w:val="9"/>
        </w:numPr>
        <w:spacing w:after="120" w:line="240" w:lineRule="auto"/>
        <w:jc w:val="both"/>
        <w:textAlignment w:val="top"/>
        <w:rPr>
          <w:rFonts w:cstheme="minorHAnsi"/>
          <w:sz w:val="24"/>
          <w:szCs w:val="24"/>
        </w:rPr>
      </w:pPr>
      <w:r w:rsidRPr="00051259">
        <w:rPr>
          <w:rFonts w:cstheme="minorHAnsi"/>
          <w:sz w:val="24"/>
          <w:szCs w:val="24"/>
        </w:rPr>
        <w:t xml:space="preserve">Le dossier relatif à la structure : </w:t>
      </w:r>
    </w:p>
    <w:p w14:paraId="06E471E5" w14:textId="77777777" w:rsidR="00EA6619" w:rsidRPr="00051259" w:rsidRDefault="00E9014C" w:rsidP="00EA6619">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 xml:space="preserve">Le Statut et le règlement interne de l’ONG </w:t>
      </w:r>
    </w:p>
    <w:p w14:paraId="04F20409" w14:textId="77777777" w:rsidR="00EA6619" w:rsidRPr="00051259" w:rsidRDefault="00FB5BEE" w:rsidP="00EA6619">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La publication au JORT</w:t>
      </w:r>
    </w:p>
    <w:p w14:paraId="53917654" w14:textId="49687BCB" w:rsidR="00EA6619" w:rsidRPr="00051259" w:rsidRDefault="00E9014C" w:rsidP="0079332A">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Le PV des 2 dernières assemblées générales tenue</w:t>
      </w:r>
      <w:r w:rsidR="001A68B0">
        <w:rPr>
          <w:rFonts w:cstheme="minorHAnsi"/>
          <w:sz w:val="24"/>
          <w:szCs w:val="24"/>
        </w:rPr>
        <w:t>s</w:t>
      </w:r>
      <w:r w:rsidRPr="00051259">
        <w:rPr>
          <w:rFonts w:cstheme="minorHAnsi"/>
          <w:sz w:val="24"/>
          <w:szCs w:val="24"/>
        </w:rPr>
        <w:t xml:space="preserve"> par l’ONG</w:t>
      </w:r>
      <w:r w:rsidR="00576CC7" w:rsidRPr="00051259">
        <w:rPr>
          <w:rFonts w:cstheme="minorHAnsi"/>
          <w:sz w:val="24"/>
          <w:szCs w:val="24"/>
        </w:rPr>
        <w:t xml:space="preserve">, </w:t>
      </w:r>
      <w:r w:rsidR="00576CC7" w:rsidRPr="00051259">
        <w:rPr>
          <w:rFonts w:cstheme="minorHAnsi"/>
          <w:sz w:val="24"/>
          <w:szCs w:val="24"/>
          <w:u w:val="single"/>
        </w:rPr>
        <w:t>(non applicable aux associations cré</w:t>
      </w:r>
      <w:r w:rsidR="0079332A" w:rsidRPr="00051259">
        <w:rPr>
          <w:rFonts w:cstheme="minorHAnsi"/>
          <w:sz w:val="24"/>
          <w:szCs w:val="24"/>
          <w:u w:val="single"/>
        </w:rPr>
        <w:t>ées</w:t>
      </w:r>
      <w:r w:rsidR="00576CC7" w:rsidRPr="00051259">
        <w:rPr>
          <w:rFonts w:cstheme="minorHAnsi"/>
          <w:sz w:val="24"/>
          <w:szCs w:val="24"/>
          <w:u w:val="single"/>
        </w:rPr>
        <w:t xml:space="preserve"> </w:t>
      </w:r>
      <w:r w:rsidR="00BE2473" w:rsidRPr="00051259">
        <w:rPr>
          <w:rFonts w:cstheme="minorHAnsi"/>
          <w:sz w:val="24"/>
          <w:szCs w:val="24"/>
          <w:u w:val="single"/>
        </w:rPr>
        <w:t>après janvier 201</w:t>
      </w:r>
      <w:r w:rsidR="009464D1">
        <w:rPr>
          <w:rFonts w:cstheme="minorHAnsi"/>
          <w:sz w:val="24"/>
          <w:szCs w:val="24"/>
          <w:u w:val="single"/>
        </w:rPr>
        <w:t>8</w:t>
      </w:r>
      <w:r w:rsidR="00576CC7" w:rsidRPr="00051259">
        <w:rPr>
          <w:rFonts w:cstheme="minorHAnsi"/>
          <w:sz w:val="24"/>
          <w:szCs w:val="24"/>
          <w:u w:val="single"/>
        </w:rPr>
        <w:t>)</w:t>
      </w:r>
      <w:r w:rsidR="00576CC7" w:rsidRPr="00051259">
        <w:rPr>
          <w:rFonts w:cstheme="minorHAnsi"/>
          <w:sz w:val="24"/>
          <w:szCs w:val="24"/>
        </w:rPr>
        <w:t xml:space="preserve"> </w:t>
      </w:r>
    </w:p>
    <w:p w14:paraId="0E75630A" w14:textId="5C72E6E4" w:rsidR="00551687" w:rsidRPr="00051259" w:rsidRDefault="00551687" w:rsidP="00835B17">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 xml:space="preserve">Les deux derniers rapports narratifs et financiers </w:t>
      </w:r>
      <w:r w:rsidR="00FB5BEE" w:rsidRPr="00051259">
        <w:rPr>
          <w:rFonts w:cstheme="minorHAnsi"/>
          <w:sz w:val="24"/>
          <w:szCs w:val="24"/>
        </w:rPr>
        <w:t>d</w:t>
      </w:r>
      <w:r w:rsidR="00835B17">
        <w:rPr>
          <w:rFonts w:cstheme="minorHAnsi"/>
          <w:sz w:val="24"/>
          <w:szCs w:val="24"/>
        </w:rPr>
        <w:t xml:space="preserve">es </w:t>
      </w:r>
      <w:r w:rsidR="00FB5BEE" w:rsidRPr="00051259">
        <w:rPr>
          <w:rFonts w:cstheme="minorHAnsi"/>
          <w:sz w:val="24"/>
          <w:szCs w:val="24"/>
        </w:rPr>
        <w:t>activité</w:t>
      </w:r>
      <w:r w:rsidR="00835B17">
        <w:rPr>
          <w:rFonts w:cstheme="minorHAnsi"/>
          <w:sz w:val="24"/>
          <w:szCs w:val="24"/>
        </w:rPr>
        <w:t>s</w:t>
      </w:r>
      <w:r w:rsidR="00FB5BEE" w:rsidRPr="00051259">
        <w:rPr>
          <w:rFonts w:cstheme="minorHAnsi"/>
          <w:sz w:val="24"/>
          <w:szCs w:val="24"/>
        </w:rPr>
        <w:t xml:space="preserve"> annuelle</w:t>
      </w:r>
      <w:r w:rsidR="00835B17">
        <w:rPr>
          <w:rFonts w:cstheme="minorHAnsi"/>
          <w:sz w:val="24"/>
          <w:szCs w:val="24"/>
        </w:rPr>
        <w:t>s</w:t>
      </w:r>
      <w:r w:rsidR="00FB5BEE" w:rsidRPr="00051259">
        <w:rPr>
          <w:rFonts w:cstheme="minorHAnsi"/>
          <w:sz w:val="24"/>
          <w:szCs w:val="24"/>
        </w:rPr>
        <w:t xml:space="preserve"> </w:t>
      </w:r>
      <w:r w:rsidRPr="00051259">
        <w:rPr>
          <w:rFonts w:cstheme="minorHAnsi"/>
          <w:sz w:val="24"/>
          <w:szCs w:val="24"/>
        </w:rPr>
        <w:t xml:space="preserve">de l’association </w:t>
      </w:r>
      <w:r w:rsidRPr="00051259">
        <w:rPr>
          <w:rFonts w:cstheme="minorHAnsi"/>
          <w:sz w:val="24"/>
          <w:szCs w:val="24"/>
          <w:u w:val="single"/>
        </w:rPr>
        <w:t>(non applicable aux associations cré</w:t>
      </w:r>
      <w:r w:rsidR="0079332A" w:rsidRPr="00051259">
        <w:rPr>
          <w:rFonts w:cstheme="minorHAnsi"/>
          <w:sz w:val="24"/>
          <w:szCs w:val="24"/>
          <w:u w:val="single"/>
        </w:rPr>
        <w:t>ées</w:t>
      </w:r>
      <w:r w:rsidRPr="00051259">
        <w:rPr>
          <w:rFonts w:cstheme="minorHAnsi"/>
          <w:sz w:val="24"/>
          <w:szCs w:val="24"/>
          <w:u w:val="single"/>
        </w:rPr>
        <w:t xml:space="preserve"> après janvier 201</w:t>
      </w:r>
      <w:r w:rsidR="009464D1">
        <w:rPr>
          <w:rFonts w:cstheme="minorHAnsi"/>
          <w:sz w:val="24"/>
          <w:szCs w:val="24"/>
          <w:u w:val="single"/>
        </w:rPr>
        <w:t>8</w:t>
      </w:r>
      <w:r w:rsidRPr="00051259">
        <w:rPr>
          <w:rFonts w:cstheme="minorHAnsi"/>
          <w:sz w:val="24"/>
          <w:szCs w:val="24"/>
          <w:u w:val="single"/>
        </w:rPr>
        <w:t>)</w:t>
      </w:r>
    </w:p>
    <w:p w14:paraId="48652709" w14:textId="3F109B22" w:rsidR="00EA6619" w:rsidRPr="00051259" w:rsidRDefault="00E9014C" w:rsidP="00835B17">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La liste des membres du bureau et du staff payé</w:t>
      </w:r>
      <w:r w:rsidR="00245951" w:rsidRPr="00051259">
        <w:rPr>
          <w:rFonts w:cstheme="minorHAnsi"/>
          <w:sz w:val="24"/>
          <w:szCs w:val="24"/>
        </w:rPr>
        <w:t xml:space="preserve"> ainsi que les autres ressources à disposition de l’association/ GDA/SMSA</w:t>
      </w:r>
    </w:p>
    <w:p w14:paraId="6B976B25" w14:textId="77777777" w:rsidR="0067354F" w:rsidRDefault="0067354F" w:rsidP="00EA6619">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La liste des adhérents</w:t>
      </w:r>
    </w:p>
    <w:p w14:paraId="36144A92" w14:textId="7B1C4D2D" w:rsidR="00141E34" w:rsidRPr="00051259" w:rsidRDefault="00895A8D" w:rsidP="00835B17">
      <w:pPr>
        <w:pStyle w:val="Paragraphedeliste"/>
        <w:numPr>
          <w:ilvl w:val="0"/>
          <w:numId w:val="46"/>
        </w:numPr>
        <w:spacing w:after="120" w:line="240" w:lineRule="auto"/>
        <w:jc w:val="both"/>
        <w:textAlignment w:val="top"/>
        <w:rPr>
          <w:rFonts w:cstheme="minorHAnsi"/>
          <w:sz w:val="24"/>
          <w:szCs w:val="24"/>
        </w:rPr>
      </w:pPr>
      <w:r>
        <w:rPr>
          <w:rFonts w:cstheme="minorHAnsi"/>
          <w:sz w:val="24"/>
          <w:szCs w:val="24"/>
        </w:rPr>
        <w:t xml:space="preserve">Un </w:t>
      </w:r>
      <w:r w:rsidR="00141E34" w:rsidRPr="00895A8D">
        <w:rPr>
          <w:rFonts w:cstheme="minorHAnsi"/>
          <w:sz w:val="24"/>
          <w:szCs w:val="24"/>
        </w:rPr>
        <w:t>accord de principe ou définitif</w:t>
      </w:r>
      <w:r w:rsidR="00141E34">
        <w:rPr>
          <w:rFonts w:cstheme="minorHAnsi"/>
          <w:sz w:val="24"/>
          <w:szCs w:val="24"/>
        </w:rPr>
        <w:t xml:space="preserve"> </w:t>
      </w:r>
      <w:r w:rsidR="00141E34" w:rsidRPr="00051259">
        <w:rPr>
          <w:rFonts w:cstheme="minorHAnsi"/>
          <w:sz w:val="24"/>
          <w:szCs w:val="24"/>
        </w:rPr>
        <w:t xml:space="preserve">de partenariats avec les autorités locales, nationales ou </w:t>
      </w:r>
      <w:r w:rsidR="00835B17">
        <w:rPr>
          <w:rFonts w:cstheme="minorHAnsi"/>
          <w:sz w:val="24"/>
          <w:szCs w:val="24"/>
        </w:rPr>
        <w:t xml:space="preserve">établissements </w:t>
      </w:r>
      <w:r w:rsidR="00141E34">
        <w:rPr>
          <w:rFonts w:cstheme="minorHAnsi"/>
          <w:sz w:val="24"/>
          <w:szCs w:val="24"/>
        </w:rPr>
        <w:t>de recherche.</w:t>
      </w:r>
    </w:p>
    <w:p w14:paraId="46E815D5" w14:textId="67C3A9BD" w:rsidR="00EA6619" w:rsidRPr="00051259" w:rsidRDefault="00AD73F0" w:rsidP="00835B17">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 xml:space="preserve">Tout autre document qui peut appuyer le dossier de soumission notamment </w:t>
      </w:r>
      <w:r w:rsidR="0000119E" w:rsidRPr="00051259">
        <w:rPr>
          <w:rFonts w:cstheme="minorHAnsi"/>
          <w:sz w:val="24"/>
          <w:szCs w:val="24"/>
        </w:rPr>
        <w:t>et les documents produits par le soumissionnaire en relation avec le projet</w:t>
      </w:r>
      <w:r w:rsidRPr="00051259">
        <w:rPr>
          <w:rFonts w:cstheme="minorHAnsi"/>
          <w:sz w:val="24"/>
          <w:szCs w:val="24"/>
        </w:rPr>
        <w:t>.</w:t>
      </w:r>
    </w:p>
    <w:p w14:paraId="509A756D" w14:textId="77777777" w:rsidR="00224CED" w:rsidRPr="00051259" w:rsidRDefault="00224CED" w:rsidP="00224CED">
      <w:pPr>
        <w:spacing w:after="0"/>
        <w:jc w:val="both"/>
        <w:rPr>
          <w:rFonts w:cstheme="minorHAnsi"/>
          <w:sz w:val="24"/>
          <w:szCs w:val="24"/>
        </w:rPr>
      </w:pPr>
    </w:p>
    <w:p w14:paraId="5097C9C3" w14:textId="77777777" w:rsidR="00224CED" w:rsidRPr="00051259" w:rsidRDefault="00224CED" w:rsidP="00224CED">
      <w:pPr>
        <w:spacing w:after="0"/>
        <w:jc w:val="both"/>
        <w:rPr>
          <w:rFonts w:cstheme="minorHAnsi"/>
          <w:sz w:val="24"/>
          <w:szCs w:val="24"/>
        </w:rPr>
      </w:pPr>
      <w:r w:rsidRPr="00051259">
        <w:rPr>
          <w:rFonts w:cstheme="minorHAnsi"/>
          <w:sz w:val="24"/>
          <w:szCs w:val="24"/>
        </w:rPr>
        <w:lastRenderedPageBreak/>
        <w:t xml:space="preserve">Les nouvelles associations sont </w:t>
      </w:r>
      <w:r w:rsidR="003F7EC7" w:rsidRPr="00051259">
        <w:rPr>
          <w:rFonts w:cstheme="minorHAnsi"/>
          <w:sz w:val="24"/>
          <w:szCs w:val="24"/>
        </w:rPr>
        <w:t>encouragées</w:t>
      </w:r>
      <w:r w:rsidRPr="00051259">
        <w:rPr>
          <w:rFonts w:cstheme="minorHAnsi"/>
          <w:sz w:val="24"/>
          <w:szCs w:val="24"/>
        </w:rPr>
        <w:t xml:space="preserve"> à participer à cet appel </w:t>
      </w:r>
    </w:p>
    <w:p w14:paraId="6A241EA5" w14:textId="5853AD85" w:rsidR="00E74693" w:rsidRPr="00051259" w:rsidRDefault="00E9014C" w:rsidP="00835B17">
      <w:pPr>
        <w:shd w:val="clear" w:color="auto" w:fill="FFFFFF"/>
        <w:spacing w:line="240" w:lineRule="auto"/>
        <w:jc w:val="both"/>
        <w:rPr>
          <w:rFonts w:cstheme="minorHAnsi"/>
        </w:rPr>
      </w:pPr>
      <w:r w:rsidRPr="00051259">
        <w:rPr>
          <w:rFonts w:cstheme="minorHAnsi"/>
          <w:sz w:val="24"/>
          <w:szCs w:val="24"/>
        </w:rPr>
        <w:t xml:space="preserve">Chaque ONG ne peut </w:t>
      </w:r>
      <w:r w:rsidR="00835B17">
        <w:rPr>
          <w:rFonts w:cstheme="minorHAnsi"/>
          <w:sz w:val="24"/>
          <w:szCs w:val="24"/>
        </w:rPr>
        <w:t>soumettre</w:t>
      </w:r>
      <w:r w:rsidR="00835B17" w:rsidRPr="00051259">
        <w:rPr>
          <w:rFonts w:cstheme="minorHAnsi"/>
          <w:sz w:val="24"/>
          <w:szCs w:val="24"/>
        </w:rPr>
        <w:t xml:space="preserve"> </w:t>
      </w:r>
      <w:r w:rsidRPr="00051259">
        <w:rPr>
          <w:rFonts w:cstheme="minorHAnsi"/>
          <w:sz w:val="24"/>
          <w:szCs w:val="24"/>
        </w:rPr>
        <w:t xml:space="preserve">qu’une seule proposition de projet. </w:t>
      </w:r>
    </w:p>
    <w:p w14:paraId="06B893DC" w14:textId="0B6EBFFA" w:rsidR="00B86C33" w:rsidRPr="00051259" w:rsidRDefault="00C7789F">
      <w:pPr>
        <w:shd w:val="clear" w:color="auto" w:fill="FFCCFF"/>
        <w:jc w:val="both"/>
        <w:rPr>
          <w:rFonts w:cstheme="minorHAnsi"/>
          <w:b/>
          <w:bCs/>
          <w:u w:val="single"/>
        </w:rPr>
      </w:pPr>
      <w:r>
        <w:rPr>
          <w:rFonts w:cstheme="minorHAnsi"/>
          <w:b/>
          <w:bCs/>
          <w:u w:val="single"/>
        </w:rPr>
        <w:t>IX-</w:t>
      </w:r>
      <w:r w:rsidR="00E9014C" w:rsidRPr="00051259">
        <w:rPr>
          <w:rFonts w:cstheme="minorHAnsi"/>
          <w:b/>
          <w:bCs/>
          <w:u w:val="single"/>
        </w:rPr>
        <w:t>Modalités de sélection :</w:t>
      </w:r>
    </w:p>
    <w:p w14:paraId="720D1252" w14:textId="0B3BFD7C" w:rsidR="00B86C33" w:rsidRPr="00051259" w:rsidRDefault="00E9014C" w:rsidP="00835B17">
      <w:pPr>
        <w:shd w:val="clear" w:color="auto" w:fill="FFFFFF"/>
        <w:spacing w:line="240" w:lineRule="auto"/>
        <w:jc w:val="both"/>
        <w:rPr>
          <w:rFonts w:cstheme="minorHAnsi"/>
          <w:sz w:val="24"/>
          <w:szCs w:val="24"/>
        </w:rPr>
      </w:pPr>
      <w:r w:rsidRPr="00051259">
        <w:rPr>
          <w:rFonts w:cstheme="minorHAnsi"/>
          <w:sz w:val="24"/>
          <w:szCs w:val="24"/>
        </w:rPr>
        <w:t xml:space="preserve">Toutes les propositions reçues seront présentées au Comité National de Pilotage du PMF/FEM, unique instance qui statue sur l’octroi de financement sur la base des critères ci-dessus, pour examen et </w:t>
      </w:r>
      <w:r w:rsidR="00835B17">
        <w:rPr>
          <w:rFonts w:cstheme="minorHAnsi"/>
          <w:sz w:val="24"/>
          <w:szCs w:val="24"/>
        </w:rPr>
        <w:t>décision</w:t>
      </w:r>
      <w:r w:rsidR="00162F03" w:rsidRPr="00051259">
        <w:rPr>
          <w:rFonts w:cstheme="minorHAnsi"/>
          <w:sz w:val="24"/>
          <w:szCs w:val="24"/>
        </w:rPr>
        <w:t>.</w:t>
      </w:r>
      <w:r w:rsidR="00224CED" w:rsidRPr="00051259">
        <w:rPr>
          <w:rFonts w:cstheme="minorHAnsi"/>
          <w:sz w:val="24"/>
          <w:szCs w:val="24"/>
        </w:rPr>
        <w:t xml:space="preserve"> Seules les associations/GDA/</w:t>
      </w:r>
      <w:r w:rsidR="00A6717E" w:rsidRPr="00051259">
        <w:rPr>
          <w:rFonts w:cstheme="minorHAnsi"/>
          <w:sz w:val="24"/>
          <w:szCs w:val="24"/>
        </w:rPr>
        <w:t>SMSA DE BASE</w:t>
      </w:r>
      <w:r w:rsidR="00162F03" w:rsidRPr="00051259">
        <w:rPr>
          <w:rFonts w:cstheme="minorHAnsi"/>
          <w:sz w:val="24"/>
          <w:szCs w:val="24"/>
        </w:rPr>
        <w:t xml:space="preserve"> présélectionnées </w:t>
      </w:r>
      <w:r w:rsidRPr="00051259">
        <w:rPr>
          <w:rFonts w:cstheme="minorHAnsi"/>
          <w:sz w:val="24"/>
          <w:szCs w:val="24"/>
        </w:rPr>
        <w:t xml:space="preserve">seront contactées.  </w:t>
      </w:r>
    </w:p>
    <w:p w14:paraId="7A84C4DA" w14:textId="77777777" w:rsidR="00E74693" w:rsidRPr="00051259" w:rsidRDefault="00E74693" w:rsidP="003D14DB">
      <w:pPr>
        <w:spacing w:after="0"/>
        <w:jc w:val="both"/>
        <w:rPr>
          <w:rFonts w:cstheme="minorHAnsi"/>
          <w:sz w:val="24"/>
          <w:szCs w:val="24"/>
        </w:rPr>
      </w:pPr>
      <w:r w:rsidRPr="00051259">
        <w:rPr>
          <w:rFonts w:cstheme="minorHAnsi"/>
          <w:sz w:val="24"/>
          <w:szCs w:val="24"/>
        </w:rPr>
        <w:t>--------------------------------------------------</w:t>
      </w:r>
    </w:p>
    <w:p w14:paraId="5280E325" w14:textId="39891CA9" w:rsidR="003D14DB" w:rsidRPr="00051259" w:rsidRDefault="00224CED" w:rsidP="00162F03">
      <w:pPr>
        <w:spacing w:after="0"/>
        <w:jc w:val="both"/>
        <w:rPr>
          <w:rFonts w:cstheme="minorHAnsi"/>
          <w:sz w:val="24"/>
          <w:szCs w:val="24"/>
        </w:rPr>
      </w:pPr>
      <w:r w:rsidRPr="00051259">
        <w:rPr>
          <w:rFonts w:cstheme="minorHAnsi"/>
          <w:sz w:val="24"/>
          <w:szCs w:val="24"/>
        </w:rPr>
        <w:t xml:space="preserve">Les demandes de clarifications devront être envoyées à la même adresse électronique </w:t>
      </w:r>
      <w:hyperlink r:id="rId11" w:history="1">
        <w:r w:rsidRPr="00051259">
          <w:rPr>
            <w:rFonts w:cstheme="minorHAnsi"/>
            <w:sz w:val="24"/>
            <w:szCs w:val="24"/>
          </w:rPr>
          <w:t>sgptunisia@unops.org</w:t>
        </w:r>
      </w:hyperlink>
      <w:r w:rsidRPr="00051259">
        <w:rPr>
          <w:rFonts w:cstheme="minorHAnsi"/>
          <w:sz w:val="24"/>
          <w:szCs w:val="24"/>
        </w:rPr>
        <w:t xml:space="preserve"> plus tard </w:t>
      </w:r>
      <w:r w:rsidR="004E275F">
        <w:rPr>
          <w:rFonts w:cstheme="minorHAnsi"/>
          <w:sz w:val="24"/>
          <w:szCs w:val="24"/>
        </w:rPr>
        <w:t xml:space="preserve">le </w:t>
      </w:r>
      <w:r w:rsidR="00895A8D">
        <w:rPr>
          <w:rFonts w:cstheme="minorHAnsi"/>
          <w:sz w:val="24"/>
          <w:szCs w:val="24"/>
        </w:rPr>
        <w:t>2</w:t>
      </w:r>
      <w:r w:rsidR="00552D4D">
        <w:rPr>
          <w:rFonts w:cstheme="minorHAnsi"/>
          <w:sz w:val="24"/>
          <w:szCs w:val="24"/>
        </w:rPr>
        <w:t>0 juin</w:t>
      </w:r>
      <w:r w:rsidR="00552D4D">
        <w:rPr>
          <w:rFonts w:eastAsia="Times New Roman" w:cstheme="minorHAnsi"/>
          <w:color w:val="1D2129"/>
          <w:sz w:val="26"/>
          <w:szCs w:val="26"/>
        </w:rPr>
        <w:t xml:space="preserve"> 2019</w:t>
      </w:r>
      <w:r w:rsidRPr="00051259">
        <w:rPr>
          <w:rFonts w:eastAsia="Times New Roman" w:cstheme="minorHAnsi"/>
          <w:color w:val="1D2129"/>
          <w:sz w:val="26"/>
          <w:szCs w:val="26"/>
        </w:rPr>
        <w:t xml:space="preserve"> </w:t>
      </w:r>
      <w:hyperlink r:id="rId12" w:history="1">
        <w:r w:rsidR="00162F03" w:rsidRPr="00051259">
          <w:rPr>
            <w:rStyle w:val="Lienhypertexte"/>
            <w:rFonts w:cstheme="minorHAnsi"/>
            <w:sz w:val="24"/>
            <w:szCs w:val="24"/>
          </w:rPr>
          <w:t>sgptunisia@unops.org</w:t>
        </w:r>
      </w:hyperlink>
      <w:r w:rsidR="00245951" w:rsidRPr="00051259">
        <w:rPr>
          <w:rFonts w:cstheme="minorHAnsi"/>
          <w:sz w:val="24"/>
          <w:szCs w:val="24"/>
        </w:rPr>
        <w:t xml:space="preserve"> </w:t>
      </w:r>
      <w:r w:rsidR="00E9014C" w:rsidRPr="00051259">
        <w:rPr>
          <w:rFonts w:cstheme="minorHAnsi"/>
          <w:sz w:val="24"/>
          <w:szCs w:val="24"/>
        </w:rPr>
        <w:t xml:space="preserve"> </w:t>
      </w:r>
    </w:p>
    <w:p w14:paraId="3596D756" w14:textId="77777777" w:rsidR="00441434" w:rsidRPr="00051259" w:rsidRDefault="00441434" w:rsidP="003D14DB">
      <w:pPr>
        <w:spacing w:after="0"/>
        <w:jc w:val="both"/>
        <w:rPr>
          <w:rFonts w:cstheme="minorHAnsi"/>
          <w:sz w:val="24"/>
          <w:szCs w:val="24"/>
        </w:rPr>
      </w:pPr>
    </w:p>
    <w:p w14:paraId="76CFD05C" w14:textId="77777777" w:rsidR="007B1FC3" w:rsidRPr="00051259" w:rsidRDefault="00E9014C" w:rsidP="00A6717E">
      <w:pPr>
        <w:spacing w:after="0"/>
        <w:jc w:val="both"/>
        <w:rPr>
          <w:rFonts w:cstheme="minorHAnsi"/>
          <w:b/>
          <w:sz w:val="24"/>
          <w:szCs w:val="24"/>
        </w:rPr>
      </w:pPr>
      <w:r w:rsidRPr="00051259">
        <w:rPr>
          <w:rFonts w:cstheme="minorHAnsi"/>
          <w:b/>
          <w:bCs/>
          <w:sz w:val="24"/>
          <w:szCs w:val="24"/>
        </w:rPr>
        <w:t>Diffusé</w:t>
      </w:r>
      <w:r w:rsidR="00A6717E" w:rsidRPr="00051259">
        <w:rPr>
          <w:rFonts w:cstheme="minorHAnsi"/>
          <w:b/>
          <w:bCs/>
          <w:sz w:val="24"/>
          <w:szCs w:val="24"/>
        </w:rPr>
        <w:t>, le</w:t>
      </w:r>
      <w:r w:rsidRPr="00051259">
        <w:rPr>
          <w:rFonts w:cstheme="minorHAnsi"/>
          <w:b/>
          <w:bCs/>
          <w:sz w:val="24"/>
          <w:szCs w:val="24"/>
        </w:rPr>
        <w:t xml:space="preserve"> </w:t>
      </w:r>
      <w:r w:rsidR="004E275F">
        <w:rPr>
          <w:rFonts w:cstheme="minorHAnsi"/>
          <w:b/>
          <w:bCs/>
          <w:sz w:val="24"/>
          <w:szCs w:val="24"/>
        </w:rPr>
        <w:t>20 Mai 2019</w:t>
      </w:r>
    </w:p>
    <w:sectPr w:rsidR="007B1FC3" w:rsidRPr="00051259" w:rsidSect="00C727EF">
      <w:headerReference w:type="default" r:id="rId13"/>
      <w:pgSz w:w="11906" w:h="16838"/>
      <w:pgMar w:top="2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84730" w14:textId="77777777" w:rsidR="002974DC" w:rsidRDefault="002974DC" w:rsidP="00EE2A85">
      <w:pPr>
        <w:spacing w:after="0" w:line="240" w:lineRule="auto"/>
      </w:pPr>
      <w:r>
        <w:separator/>
      </w:r>
    </w:p>
  </w:endnote>
  <w:endnote w:type="continuationSeparator" w:id="0">
    <w:p w14:paraId="0E41C1A0" w14:textId="77777777" w:rsidR="002974DC" w:rsidRDefault="002974DC" w:rsidP="00EE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CD193" w14:textId="77777777" w:rsidR="002974DC" w:rsidRDefault="002974DC" w:rsidP="00EE2A85">
      <w:pPr>
        <w:spacing w:after="0" w:line="240" w:lineRule="auto"/>
      </w:pPr>
      <w:r>
        <w:separator/>
      </w:r>
    </w:p>
  </w:footnote>
  <w:footnote w:type="continuationSeparator" w:id="0">
    <w:p w14:paraId="5BB6C2AD" w14:textId="77777777" w:rsidR="002974DC" w:rsidRDefault="002974DC" w:rsidP="00EE2A85">
      <w:pPr>
        <w:spacing w:after="0" w:line="240" w:lineRule="auto"/>
      </w:pPr>
      <w:r>
        <w:continuationSeparator/>
      </w:r>
    </w:p>
  </w:footnote>
  <w:footnote w:id="1">
    <w:p w14:paraId="4E256581" w14:textId="77777777" w:rsidR="00742A6D" w:rsidRDefault="00742A6D">
      <w:pPr>
        <w:pStyle w:val="Notedebasdepage"/>
      </w:pPr>
      <w:r>
        <w:rPr>
          <w:rStyle w:val="Appelnotedebasdep"/>
        </w:rPr>
        <w:footnoteRef/>
      </w:r>
      <w:r>
        <w:t xml:space="preserve"> Les thématiques focales du FEM incluent : la biodiversité, le changement climatique, la gestion durable de la terre, les eaux internationales, lutte contre la dégradation des terres et les produits chimiques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6BC0" w14:textId="77777777" w:rsidR="00742A6D" w:rsidRDefault="00742A6D" w:rsidP="00487166">
    <w:pPr>
      <w:pStyle w:val="En-tte"/>
      <w:tabs>
        <w:tab w:val="clear" w:pos="4536"/>
        <w:tab w:val="clear" w:pos="9072"/>
        <w:tab w:val="left" w:pos="2233"/>
      </w:tabs>
    </w:pPr>
    <w:r>
      <w:rPr>
        <w:noProof/>
      </w:rPr>
      <w:drawing>
        <wp:anchor distT="0" distB="0" distL="114300" distR="114300" simplePos="0" relativeHeight="251659264" behindDoc="0" locked="0" layoutInCell="1" allowOverlap="1" wp14:anchorId="60D53908" wp14:editId="6EF9DB12">
          <wp:simplePos x="0" y="0"/>
          <wp:positionH relativeFrom="column">
            <wp:posOffset>4745355</wp:posOffset>
          </wp:positionH>
          <wp:positionV relativeFrom="paragraph">
            <wp:posOffset>-100330</wp:posOffset>
          </wp:positionV>
          <wp:extent cx="415925" cy="873125"/>
          <wp:effectExtent l="19050" t="0" r="3175" b="0"/>
          <wp:wrapSquare wrapText="bothSides"/>
          <wp:docPr id="41" name="Picture 4" descr="Description: Description: cid:image007.png@01CC9A4C.1F96C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id:image007.png@01CC9A4C.1F96CBB0"/>
                  <pic:cNvPicPr>
                    <a:picLocks noChangeAspect="1" noChangeArrowheads="1"/>
                  </pic:cNvPicPr>
                </pic:nvPicPr>
                <pic:blipFill>
                  <a:blip r:embed="rId1" r:link="rId2"/>
                  <a:srcRect/>
                  <a:stretch>
                    <a:fillRect/>
                  </a:stretch>
                </pic:blipFill>
                <pic:spPr bwMode="auto">
                  <a:xfrm>
                    <a:off x="0" y="0"/>
                    <a:ext cx="415925" cy="87312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56225A" wp14:editId="3D707DE2">
          <wp:simplePos x="0" y="0"/>
          <wp:positionH relativeFrom="column">
            <wp:posOffset>290195</wp:posOffset>
          </wp:positionH>
          <wp:positionV relativeFrom="paragraph">
            <wp:posOffset>84455</wp:posOffset>
          </wp:positionV>
          <wp:extent cx="576580" cy="688340"/>
          <wp:effectExtent l="19050" t="0" r="0" b="0"/>
          <wp:wrapSquare wrapText="bothSides"/>
          <wp:docPr id="42" name="Picture 3" descr="GEF_Brand_symbol onl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F_Brand_symbol only.tif"/>
                  <pic:cNvPicPr>
                    <a:picLocks noChangeAspect="1" noChangeArrowheads="1"/>
                  </pic:cNvPicPr>
                </pic:nvPicPr>
                <pic:blipFill>
                  <a:blip r:embed="rId3"/>
                  <a:srcRect/>
                  <a:stretch>
                    <a:fillRect/>
                  </a:stretch>
                </pic:blipFill>
                <pic:spPr bwMode="auto">
                  <a:xfrm>
                    <a:off x="0" y="0"/>
                    <a:ext cx="576580" cy="688340"/>
                  </a:xfrm>
                  <a:prstGeom prst="rect">
                    <a:avLst/>
                  </a:prstGeom>
                  <a:noFill/>
                  <a:ln w="9525">
                    <a:noFill/>
                    <a:miter lim="800000"/>
                    <a:headEnd/>
                    <a:tailEnd/>
                  </a:ln>
                </pic:spPr>
              </pic:pic>
            </a:graphicData>
          </a:graphic>
        </wp:anchor>
      </w:drawing>
    </w:r>
    <w:r>
      <w:tab/>
      <w:t xml:space="preserve">                   </w:t>
    </w:r>
    <w:r>
      <w:rPr>
        <w:noProof/>
      </w:rPr>
      <w:drawing>
        <wp:inline distT="0" distB="0" distL="0" distR="0" wp14:anchorId="1F9A20DF" wp14:editId="76EBC65A">
          <wp:extent cx="1840865" cy="658495"/>
          <wp:effectExtent l="0" t="0" r="6985"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0865" cy="658495"/>
                  </a:xfrm>
                  <a:prstGeom prst="rect">
                    <a:avLst/>
                  </a:prstGeom>
                  <a:noFill/>
                </pic:spPr>
              </pic:pic>
            </a:graphicData>
          </a:graphic>
        </wp:inline>
      </w:drawing>
    </w:r>
  </w:p>
  <w:p w14:paraId="6159A2B4" w14:textId="77777777" w:rsidR="00742A6D" w:rsidRDefault="00742A6D" w:rsidP="00487166">
    <w:pPr>
      <w:pStyle w:val="En-tte"/>
      <w:tabs>
        <w:tab w:val="clear" w:pos="4536"/>
        <w:tab w:val="clear" w:pos="9072"/>
        <w:tab w:val="left" w:pos="7960"/>
      </w:tabs>
    </w:pPr>
    <w:r>
      <w:tab/>
    </w:r>
  </w:p>
  <w:p w14:paraId="46C3BA44" w14:textId="77777777" w:rsidR="00742A6D" w:rsidRDefault="00742A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23D"/>
    <w:multiLevelType w:val="multilevel"/>
    <w:tmpl w:val="BCA6D88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85701D"/>
    <w:multiLevelType w:val="hybridMultilevel"/>
    <w:tmpl w:val="0A0CEC84"/>
    <w:lvl w:ilvl="0" w:tplc="3A14717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A52728"/>
    <w:multiLevelType w:val="hybridMultilevel"/>
    <w:tmpl w:val="C6CC13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469726C"/>
    <w:multiLevelType w:val="hybridMultilevel"/>
    <w:tmpl w:val="6C72C278"/>
    <w:lvl w:ilvl="0" w:tplc="D706B5B4">
      <w:start w:val="6"/>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6E65EA2"/>
    <w:multiLevelType w:val="hybridMultilevel"/>
    <w:tmpl w:val="A3F8F598"/>
    <w:lvl w:ilvl="0" w:tplc="1A86D1DA">
      <w:start w:val="1"/>
      <w:numFmt w:val="decimal"/>
      <w:lvlText w:val="%1."/>
      <w:lvlJc w:val="left"/>
      <w:pPr>
        <w:ind w:left="360" w:hanging="360"/>
      </w:pPr>
      <w:rPr>
        <w:rFonts w:asciiTheme="minorHAnsi" w:eastAsia="Times New Roman" w:hAnsiTheme="minorHAnsi" w:cstheme="minorBidi"/>
      </w:rPr>
    </w:lvl>
    <w:lvl w:ilvl="1" w:tplc="4CEEADE4">
      <w:start w:val="1"/>
      <w:numFmt w:val="lowerRoman"/>
      <w:lvlText w:val="%2."/>
      <w:lvlJc w:val="left"/>
      <w:pPr>
        <w:ind w:left="1080" w:hanging="360"/>
      </w:pPr>
      <w:rPr>
        <w:rFonts w:asciiTheme="minorHAnsi" w:eastAsia="Times New Roman" w:hAnsiTheme="minorHAnsi" w:cstheme="minorBidi"/>
      </w:rPr>
    </w:lvl>
    <w:lvl w:ilvl="2" w:tplc="0409001B">
      <w:start w:val="1"/>
      <w:numFmt w:val="lowerRoman"/>
      <w:lvlText w:val="%3."/>
      <w:lvlJc w:val="right"/>
      <w:pPr>
        <w:ind w:left="1800" w:hanging="180"/>
      </w:pPr>
    </w:lvl>
    <w:lvl w:ilvl="3" w:tplc="A4F24782">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00766F"/>
    <w:multiLevelType w:val="multilevel"/>
    <w:tmpl w:val="B39E3E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9096053"/>
    <w:multiLevelType w:val="hybridMultilevel"/>
    <w:tmpl w:val="25966FB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A90686C"/>
    <w:multiLevelType w:val="hybridMultilevel"/>
    <w:tmpl w:val="97E0E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D3E34F1"/>
    <w:multiLevelType w:val="hybridMultilevel"/>
    <w:tmpl w:val="B7BAF188"/>
    <w:lvl w:ilvl="0" w:tplc="B4CC90A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E52058"/>
    <w:multiLevelType w:val="hybridMultilevel"/>
    <w:tmpl w:val="EE9A25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156F7AEC"/>
    <w:multiLevelType w:val="hybridMultilevel"/>
    <w:tmpl w:val="E8988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7EC6041"/>
    <w:multiLevelType w:val="hybridMultilevel"/>
    <w:tmpl w:val="F50ED828"/>
    <w:lvl w:ilvl="0" w:tplc="B4CC90A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A463200"/>
    <w:multiLevelType w:val="multilevel"/>
    <w:tmpl w:val="B59CD39E"/>
    <w:lvl w:ilvl="0">
      <w:start w:val="1"/>
      <w:numFmt w:val="decimal"/>
      <w:pStyle w:val="Listepuces"/>
      <w:lvlText w:val="%1."/>
      <w:lvlJc w:val="left"/>
      <w:pPr>
        <w:tabs>
          <w:tab w:val="num" w:pos="576"/>
        </w:tabs>
        <w:ind w:left="576" w:hanging="720"/>
      </w:pPr>
    </w:lvl>
    <w:lvl w:ilvl="1">
      <w:start w:val="1"/>
      <w:numFmt w:val="decimal"/>
      <w:lvlText w:val="%2."/>
      <w:lvlJc w:val="left"/>
      <w:pPr>
        <w:tabs>
          <w:tab w:val="num" w:pos="1296"/>
        </w:tabs>
        <w:ind w:left="1296" w:hanging="720"/>
      </w:pPr>
    </w:lvl>
    <w:lvl w:ilvl="2">
      <w:start w:val="1"/>
      <w:numFmt w:val="decimal"/>
      <w:lvlText w:val="%3."/>
      <w:lvlJc w:val="left"/>
      <w:pPr>
        <w:tabs>
          <w:tab w:val="num" w:pos="2016"/>
        </w:tabs>
        <w:ind w:left="2016" w:hanging="720"/>
      </w:pPr>
    </w:lvl>
    <w:lvl w:ilvl="3">
      <w:start w:val="1"/>
      <w:numFmt w:val="decimal"/>
      <w:lvlText w:val="%4."/>
      <w:lvlJc w:val="left"/>
      <w:pPr>
        <w:tabs>
          <w:tab w:val="num" w:pos="2736"/>
        </w:tabs>
        <w:ind w:left="2736" w:hanging="720"/>
      </w:pPr>
    </w:lvl>
    <w:lvl w:ilvl="4">
      <w:start w:val="1"/>
      <w:numFmt w:val="decimal"/>
      <w:lvlText w:val="%5."/>
      <w:lvlJc w:val="left"/>
      <w:pPr>
        <w:tabs>
          <w:tab w:val="num" w:pos="3456"/>
        </w:tabs>
        <w:ind w:left="3456" w:hanging="720"/>
      </w:pPr>
    </w:lvl>
    <w:lvl w:ilvl="5">
      <w:start w:val="1"/>
      <w:numFmt w:val="decimal"/>
      <w:lvlText w:val="%6."/>
      <w:lvlJc w:val="left"/>
      <w:pPr>
        <w:tabs>
          <w:tab w:val="num" w:pos="4176"/>
        </w:tabs>
        <w:ind w:left="4176" w:hanging="720"/>
      </w:pPr>
    </w:lvl>
    <w:lvl w:ilvl="6">
      <w:start w:val="1"/>
      <w:numFmt w:val="decimal"/>
      <w:lvlText w:val="%7."/>
      <w:lvlJc w:val="left"/>
      <w:pPr>
        <w:tabs>
          <w:tab w:val="num" w:pos="4896"/>
        </w:tabs>
        <w:ind w:left="4896" w:hanging="720"/>
      </w:pPr>
    </w:lvl>
    <w:lvl w:ilvl="7">
      <w:start w:val="1"/>
      <w:numFmt w:val="decimal"/>
      <w:lvlText w:val="%8."/>
      <w:lvlJc w:val="left"/>
      <w:pPr>
        <w:tabs>
          <w:tab w:val="num" w:pos="5616"/>
        </w:tabs>
        <w:ind w:left="5616" w:hanging="720"/>
      </w:pPr>
    </w:lvl>
    <w:lvl w:ilvl="8">
      <w:start w:val="1"/>
      <w:numFmt w:val="decimal"/>
      <w:lvlText w:val="%9."/>
      <w:lvlJc w:val="left"/>
      <w:pPr>
        <w:tabs>
          <w:tab w:val="num" w:pos="6336"/>
        </w:tabs>
        <w:ind w:left="6336" w:hanging="720"/>
      </w:pPr>
    </w:lvl>
  </w:abstractNum>
  <w:abstractNum w:abstractNumId="13">
    <w:nsid w:val="1F0000F3"/>
    <w:multiLevelType w:val="multilevel"/>
    <w:tmpl w:val="03C28E6A"/>
    <w:lvl w:ilvl="0">
      <w:start w:val="1"/>
      <w:numFmt w:val="upperRoman"/>
      <w:lvlRestart w:val="0"/>
      <w:pStyle w:val="GCFHeaderI"/>
      <w:lvlText w:val="%1."/>
      <w:lvlJc w:val="left"/>
      <w:pPr>
        <w:tabs>
          <w:tab w:val="num" w:pos="706"/>
        </w:tabs>
        <w:ind w:left="706" w:hanging="706"/>
      </w:pPr>
      <w:rPr>
        <w:rFonts w:ascii="Cambria" w:hAnsi="Cambria" w:cs="Times New Roman" w:hint="default"/>
        <w:b/>
        <w:i w:val="0"/>
        <w:color w:val="auto"/>
        <w:sz w:val="28"/>
      </w:rPr>
    </w:lvl>
    <w:lvl w:ilvl="1">
      <w:start w:val="1"/>
      <w:numFmt w:val="decimal"/>
      <w:pStyle w:val="GCFHeader11"/>
      <w:lvlText w:val="2.%2"/>
      <w:lvlJc w:val="left"/>
      <w:pPr>
        <w:tabs>
          <w:tab w:val="num" w:pos="706"/>
        </w:tabs>
        <w:ind w:left="0" w:firstLine="0"/>
      </w:pPr>
      <w:rPr>
        <w:rFonts w:ascii="Cambria" w:hAnsi="Cambria" w:cs="Times New Roman" w:hint="default"/>
        <w:b/>
        <w:bCs w:val="0"/>
        <w:i w:val="0"/>
        <w:iCs w:val="0"/>
        <w:caps w:val="0"/>
        <w:strike w:val="0"/>
        <w:dstrike w:val="0"/>
        <w:vanish w:val="0"/>
        <w:color w:val="000000"/>
        <w:spacing w:val="0"/>
        <w:kern w:val="0"/>
        <w:position w:val="0"/>
        <w:sz w:val="28"/>
        <w:u w:val="none"/>
        <w:vertAlign w:val="baseline"/>
        <w:em w:val="none"/>
      </w:rPr>
    </w:lvl>
    <w:lvl w:ilvl="2">
      <w:start w:val="1"/>
      <w:numFmt w:val="decimal"/>
      <w:lvlText w:val="%3."/>
      <w:lvlJc w:val="left"/>
      <w:pPr>
        <w:tabs>
          <w:tab w:val="num" w:pos="706"/>
        </w:tabs>
        <w:ind w:left="0" w:firstLine="0"/>
      </w:pPr>
      <w:rPr>
        <w:rFonts w:ascii="Cambria" w:hAnsi="Cambria" w:cs="Times New Roman" w:hint="default"/>
        <w:b w:val="0"/>
        <w:bCs/>
        <w:i w:val="0"/>
        <w:iCs w:val="0"/>
        <w:color w:val="auto"/>
        <w:sz w:val="16"/>
        <w:szCs w:val="20"/>
      </w:rPr>
    </w:lvl>
    <w:lvl w:ilvl="3">
      <w:start w:val="1"/>
      <w:numFmt w:val="lowerLetter"/>
      <w:pStyle w:val="GCFSubparaab"/>
      <w:lvlText w:val="(%4)"/>
      <w:lvlJc w:val="left"/>
      <w:pPr>
        <w:tabs>
          <w:tab w:val="num" w:pos="706"/>
        </w:tabs>
        <w:ind w:left="706" w:firstLine="3"/>
      </w:pPr>
      <w:rPr>
        <w:rFonts w:ascii="Cambria" w:hAnsi="Cambria" w:cs="Times New Roman" w:hint="default"/>
        <w:b w:val="0"/>
        <w:i/>
        <w:sz w:val="16"/>
      </w:rPr>
    </w:lvl>
    <w:lvl w:ilvl="4">
      <w:start w:val="1"/>
      <w:numFmt w:val="lowerRoman"/>
      <w:lvlText w:val="(%5)"/>
      <w:lvlJc w:val="left"/>
      <w:pPr>
        <w:tabs>
          <w:tab w:val="num" w:pos="2126"/>
        </w:tabs>
        <w:ind w:left="2126" w:hanging="708"/>
      </w:pPr>
      <w:rPr>
        <w:rFonts w:ascii="Cambria" w:hAnsi="Cambria" w:hint="default"/>
        <w:b w:val="0"/>
        <w:i w:val="0"/>
        <w:sz w:val="16"/>
      </w:rPr>
    </w:lvl>
    <w:lvl w:ilvl="5">
      <w:start w:val="1"/>
      <w:numFmt w:val="lowerRoman"/>
      <w:lvlText w:val="(%6)"/>
      <w:lvlJc w:val="left"/>
      <w:pPr>
        <w:tabs>
          <w:tab w:val="num" w:pos="3276"/>
        </w:tabs>
        <w:ind w:left="2709" w:firstLine="0"/>
      </w:pPr>
      <w:rPr>
        <w:rFonts w:hint="default"/>
      </w:rPr>
    </w:lvl>
    <w:lvl w:ilvl="6">
      <w:start w:val="1"/>
      <w:numFmt w:val="bullet"/>
      <w:lvlText w:val=""/>
      <w:lvlJc w:val="left"/>
      <w:pPr>
        <w:tabs>
          <w:tab w:val="num" w:pos="2709"/>
        </w:tabs>
        <w:ind w:left="2709" w:hanging="170"/>
      </w:pPr>
      <w:rPr>
        <w:rFonts w:ascii="Symbol" w:hAnsi="Symbol" w:hint="default"/>
        <w:b w:val="0"/>
        <w:i w:val="0"/>
        <w:color w:val="auto"/>
        <w:sz w:val="20"/>
        <w:szCs w:val="28"/>
      </w:rPr>
    </w:lvl>
    <w:lvl w:ilvl="7">
      <w:start w:val="1"/>
      <w:numFmt w:val="none"/>
      <w:lvlText w:val="%8[%3."/>
      <w:lvlJc w:val="left"/>
      <w:pPr>
        <w:tabs>
          <w:tab w:val="num" w:pos="1575"/>
        </w:tabs>
        <w:ind w:left="2142" w:firstLine="0"/>
      </w:pPr>
      <w:rPr>
        <w:rFonts w:hint="default"/>
      </w:rPr>
    </w:lvl>
    <w:lvl w:ilvl="8">
      <w:start w:val="1"/>
      <w:numFmt w:val="lowerRoman"/>
      <w:lvlText w:val="%9."/>
      <w:lvlJc w:val="left"/>
      <w:pPr>
        <w:tabs>
          <w:tab w:val="num" w:pos="5101"/>
        </w:tabs>
        <w:ind w:left="5101" w:hanging="363"/>
      </w:pPr>
      <w:rPr>
        <w:rFonts w:hint="default"/>
      </w:rPr>
    </w:lvl>
  </w:abstractNum>
  <w:abstractNum w:abstractNumId="14">
    <w:nsid w:val="200F0740"/>
    <w:multiLevelType w:val="hybridMultilevel"/>
    <w:tmpl w:val="A55EB4B4"/>
    <w:lvl w:ilvl="0" w:tplc="040C000F">
      <w:start w:val="1"/>
      <w:numFmt w:val="decimal"/>
      <w:lvlText w:val="%1."/>
      <w:lvlJc w:val="left"/>
      <w:pPr>
        <w:ind w:left="720" w:hanging="360"/>
      </w:pPr>
      <w:rPr>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267E66F6"/>
    <w:multiLevelType w:val="hybridMultilevel"/>
    <w:tmpl w:val="3E4C32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8C5432F"/>
    <w:multiLevelType w:val="hybridMultilevel"/>
    <w:tmpl w:val="A9F460C8"/>
    <w:lvl w:ilvl="0" w:tplc="040C000F">
      <w:start w:val="1"/>
      <w:numFmt w:val="decimal"/>
      <w:lvlText w:val="%1."/>
      <w:lvlJc w:val="left"/>
      <w:pPr>
        <w:ind w:left="644" w:hanging="360"/>
      </w:pPr>
      <w:rPr>
        <w:b w:val="0"/>
        <w:i w:val="0"/>
      </w:rPr>
    </w:lvl>
    <w:lvl w:ilvl="1" w:tplc="04090019">
      <w:start w:val="1"/>
      <w:numFmt w:val="lowerLetter"/>
      <w:lvlText w:val="%2."/>
      <w:lvlJc w:val="left"/>
      <w:pPr>
        <w:ind w:left="2061"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BCF6A79"/>
    <w:multiLevelType w:val="multilevel"/>
    <w:tmpl w:val="C320327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2C207788"/>
    <w:multiLevelType w:val="hybridMultilevel"/>
    <w:tmpl w:val="BA08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C1193E"/>
    <w:multiLevelType w:val="multilevel"/>
    <w:tmpl w:val="09F8BD1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630043D"/>
    <w:multiLevelType w:val="hybridMultilevel"/>
    <w:tmpl w:val="8AB6D0E0"/>
    <w:lvl w:ilvl="0" w:tplc="251AD96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63B3D6F"/>
    <w:multiLevelType w:val="hybridMultilevel"/>
    <w:tmpl w:val="2BC0BD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7D46C34"/>
    <w:multiLevelType w:val="hybridMultilevel"/>
    <w:tmpl w:val="C15C8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AF767CA"/>
    <w:multiLevelType w:val="hybridMultilevel"/>
    <w:tmpl w:val="E0FA7E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3C4B51D3"/>
    <w:multiLevelType w:val="hybridMultilevel"/>
    <w:tmpl w:val="00E25086"/>
    <w:lvl w:ilvl="0" w:tplc="AAEEFAC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E13216B"/>
    <w:multiLevelType w:val="hybridMultilevel"/>
    <w:tmpl w:val="599043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0BA7201"/>
    <w:multiLevelType w:val="hybridMultilevel"/>
    <w:tmpl w:val="B746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C86A72"/>
    <w:multiLevelType w:val="hybridMultilevel"/>
    <w:tmpl w:val="D27EE06C"/>
    <w:lvl w:ilvl="0" w:tplc="040C0011">
      <w:start w:val="1"/>
      <w:numFmt w:val="decimal"/>
      <w:lvlText w:val="%1)"/>
      <w:lvlJc w:val="left"/>
      <w:pPr>
        <w:tabs>
          <w:tab w:val="num" w:pos="720"/>
        </w:tabs>
        <w:ind w:left="720" w:hanging="360"/>
      </w:pPr>
      <w:rPr>
        <w:rFonts w:hint="default"/>
      </w:rPr>
    </w:lvl>
    <w:lvl w:ilvl="1" w:tplc="9E8E3A1E" w:tentative="1">
      <w:start w:val="1"/>
      <w:numFmt w:val="bullet"/>
      <w:lvlText w:val="•"/>
      <w:lvlJc w:val="left"/>
      <w:pPr>
        <w:tabs>
          <w:tab w:val="num" w:pos="1440"/>
        </w:tabs>
        <w:ind w:left="1440" w:hanging="360"/>
      </w:pPr>
      <w:rPr>
        <w:rFonts w:ascii="Arial" w:hAnsi="Arial" w:hint="default"/>
      </w:rPr>
    </w:lvl>
    <w:lvl w:ilvl="2" w:tplc="EE0AB5B2" w:tentative="1">
      <w:start w:val="1"/>
      <w:numFmt w:val="bullet"/>
      <w:lvlText w:val="•"/>
      <w:lvlJc w:val="left"/>
      <w:pPr>
        <w:tabs>
          <w:tab w:val="num" w:pos="2160"/>
        </w:tabs>
        <w:ind w:left="2160" w:hanging="360"/>
      </w:pPr>
      <w:rPr>
        <w:rFonts w:ascii="Arial" w:hAnsi="Arial" w:hint="default"/>
      </w:rPr>
    </w:lvl>
    <w:lvl w:ilvl="3" w:tplc="F70C4E52" w:tentative="1">
      <w:start w:val="1"/>
      <w:numFmt w:val="bullet"/>
      <w:lvlText w:val="•"/>
      <w:lvlJc w:val="left"/>
      <w:pPr>
        <w:tabs>
          <w:tab w:val="num" w:pos="2880"/>
        </w:tabs>
        <w:ind w:left="2880" w:hanging="360"/>
      </w:pPr>
      <w:rPr>
        <w:rFonts w:ascii="Arial" w:hAnsi="Arial" w:hint="default"/>
      </w:rPr>
    </w:lvl>
    <w:lvl w:ilvl="4" w:tplc="35544244" w:tentative="1">
      <w:start w:val="1"/>
      <w:numFmt w:val="bullet"/>
      <w:lvlText w:val="•"/>
      <w:lvlJc w:val="left"/>
      <w:pPr>
        <w:tabs>
          <w:tab w:val="num" w:pos="3600"/>
        </w:tabs>
        <w:ind w:left="3600" w:hanging="360"/>
      </w:pPr>
      <w:rPr>
        <w:rFonts w:ascii="Arial" w:hAnsi="Arial" w:hint="default"/>
      </w:rPr>
    </w:lvl>
    <w:lvl w:ilvl="5" w:tplc="BA888866" w:tentative="1">
      <w:start w:val="1"/>
      <w:numFmt w:val="bullet"/>
      <w:lvlText w:val="•"/>
      <w:lvlJc w:val="left"/>
      <w:pPr>
        <w:tabs>
          <w:tab w:val="num" w:pos="4320"/>
        </w:tabs>
        <w:ind w:left="4320" w:hanging="360"/>
      </w:pPr>
      <w:rPr>
        <w:rFonts w:ascii="Arial" w:hAnsi="Arial" w:hint="default"/>
      </w:rPr>
    </w:lvl>
    <w:lvl w:ilvl="6" w:tplc="1AB60C10" w:tentative="1">
      <w:start w:val="1"/>
      <w:numFmt w:val="bullet"/>
      <w:lvlText w:val="•"/>
      <w:lvlJc w:val="left"/>
      <w:pPr>
        <w:tabs>
          <w:tab w:val="num" w:pos="5040"/>
        </w:tabs>
        <w:ind w:left="5040" w:hanging="360"/>
      </w:pPr>
      <w:rPr>
        <w:rFonts w:ascii="Arial" w:hAnsi="Arial" w:hint="default"/>
      </w:rPr>
    </w:lvl>
    <w:lvl w:ilvl="7" w:tplc="FF74C2B8" w:tentative="1">
      <w:start w:val="1"/>
      <w:numFmt w:val="bullet"/>
      <w:lvlText w:val="•"/>
      <w:lvlJc w:val="left"/>
      <w:pPr>
        <w:tabs>
          <w:tab w:val="num" w:pos="5760"/>
        </w:tabs>
        <w:ind w:left="5760" w:hanging="360"/>
      </w:pPr>
      <w:rPr>
        <w:rFonts w:ascii="Arial" w:hAnsi="Arial" w:hint="default"/>
      </w:rPr>
    </w:lvl>
    <w:lvl w:ilvl="8" w:tplc="C7A23C6A" w:tentative="1">
      <w:start w:val="1"/>
      <w:numFmt w:val="bullet"/>
      <w:lvlText w:val="•"/>
      <w:lvlJc w:val="left"/>
      <w:pPr>
        <w:tabs>
          <w:tab w:val="num" w:pos="6480"/>
        </w:tabs>
        <w:ind w:left="6480" w:hanging="360"/>
      </w:pPr>
      <w:rPr>
        <w:rFonts w:ascii="Arial" w:hAnsi="Arial" w:hint="default"/>
      </w:rPr>
    </w:lvl>
  </w:abstractNum>
  <w:abstractNum w:abstractNumId="28">
    <w:nsid w:val="4C8709FB"/>
    <w:multiLevelType w:val="multilevel"/>
    <w:tmpl w:val="14F4355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DD36B12"/>
    <w:multiLevelType w:val="hybridMultilevel"/>
    <w:tmpl w:val="D69C9C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0A333DC"/>
    <w:multiLevelType w:val="hybridMultilevel"/>
    <w:tmpl w:val="9C34E3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1236B43"/>
    <w:multiLevelType w:val="hybridMultilevel"/>
    <w:tmpl w:val="5C267354"/>
    <w:lvl w:ilvl="0" w:tplc="58123F5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4894237"/>
    <w:multiLevelType w:val="hybridMultilevel"/>
    <w:tmpl w:val="023CF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58E7F99"/>
    <w:multiLevelType w:val="multilevel"/>
    <w:tmpl w:val="C20CD72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572602ED"/>
    <w:multiLevelType w:val="hybridMultilevel"/>
    <w:tmpl w:val="E09AF0E6"/>
    <w:lvl w:ilvl="0" w:tplc="4F6898B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9F13B17"/>
    <w:multiLevelType w:val="hybridMultilevel"/>
    <w:tmpl w:val="31364AF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nsid w:val="5A6E7E9A"/>
    <w:multiLevelType w:val="hybridMultilevel"/>
    <w:tmpl w:val="2832736A"/>
    <w:lvl w:ilvl="0" w:tplc="040C0001">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0834D7B"/>
    <w:multiLevelType w:val="hybridMultilevel"/>
    <w:tmpl w:val="7D303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A3A798A"/>
    <w:multiLevelType w:val="hybridMultilevel"/>
    <w:tmpl w:val="CB9803EE"/>
    <w:lvl w:ilvl="0" w:tplc="251AD968">
      <w:start w:val="1"/>
      <w:numFmt w:val="bullet"/>
      <w:lvlText w:val="-"/>
      <w:lvlJc w:val="left"/>
      <w:pPr>
        <w:ind w:left="1429" w:hanging="360"/>
      </w:pPr>
      <w:rPr>
        <w:rFonts w:ascii="Calibri" w:eastAsia="Calibri" w:hAnsi="Calibri" w:cs="Times New Roman" w:hint="default"/>
      </w:rPr>
    </w:lvl>
    <w:lvl w:ilvl="1" w:tplc="2D2EBB6E">
      <w:numFmt w:val="bullet"/>
      <w:lvlText w:val="•"/>
      <w:lvlJc w:val="left"/>
      <w:pPr>
        <w:ind w:left="2149" w:hanging="360"/>
      </w:pPr>
      <w:rPr>
        <w:rFonts w:ascii="Calibri" w:eastAsiaTheme="minorHAnsi" w:hAnsi="Calibri" w:cstheme="minorBidi"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nsid w:val="6B7548E4"/>
    <w:multiLevelType w:val="hybridMultilevel"/>
    <w:tmpl w:val="494A320C"/>
    <w:lvl w:ilvl="0" w:tplc="5E1E43A0">
      <w:start w:val="1"/>
      <w:numFmt w:val="bullet"/>
      <w:lvlText w:val="-"/>
      <w:lvlJc w:val="left"/>
      <w:pPr>
        <w:ind w:left="1440" w:hanging="360"/>
      </w:pPr>
      <w:rPr>
        <w:rFonts w:ascii="Calibri" w:eastAsia="Calibr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0">
    <w:nsid w:val="6DE530BD"/>
    <w:multiLevelType w:val="hybridMultilevel"/>
    <w:tmpl w:val="B1A6ADE8"/>
    <w:lvl w:ilvl="0" w:tplc="674E9B7E">
      <w:start w:val="1"/>
      <w:numFmt w:val="lowerLetter"/>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nsid w:val="6EDE06E7"/>
    <w:multiLevelType w:val="hybridMultilevel"/>
    <w:tmpl w:val="0FD6F3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0EA1006"/>
    <w:multiLevelType w:val="hybridMultilevel"/>
    <w:tmpl w:val="EE745A08"/>
    <w:lvl w:ilvl="0" w:tplc="251AD96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1B217D7"/>
    <w:multiLevelType w:val="hybridMultilevel"/>
    <w:tmpl w:val="91F039A2"/>
    <w:lvl w:ilvl="0" w:tplc="251AD96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1E24E7D"/>
    <w:multiLevelType w:val="hybridMultilevel"/>
    <w:tmpl w:val="D1E6F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2EB6FCD"/>
    <w:multiLevelType w:val="multilevel"/>
    <w:tmpl w:val="C8F61FE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754F1C38"/>
    <w:multiLevelType w:val="multilevel"/>
    <w:tmpl w:val="3294C71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570282F"/>
    <w:multiLevelType w:val="hybridMultilevel"/>
    <w:tmpl w:val="4642BE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6031C6C"/>
    <w:multiLevelType w:val="hybridMultilevel"/>
    <w:tmpl w:val="5B8C7B70"/>
    <w:lvl w:ilvl="0" w:tplc="2E3ACD2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8"/>
  </w:num>
  <w:num w:numId="3">
    <w:abstractNumId w:val="20"/>
  </w:num>
  <w:num w:numId="4">
    <w:abstractNumId w:val="31"/>
  </w:num>
  <w:num w:numId="5">
    <w:abstractNumId w:val="42"/>
  </w:num>
  <w:num w:numId="6">
    <w:abstractNumId w:val="15"/>
  </w:num>
  <w:num w:numId="7">
    <w:abstractNumId w:val="40"/>
  </w:num>
  <w:num w:numId="8">
    <w:abstractNumId w:val="22"/>
  </w:num>
  <w:num w:numId="9">
    <w:abstractNumId w:val="41"/>
  </w:num>
  <w:num w:numId="10">
    <w:abstractNumId w:val="6"/>
  </w:num>
  <w:num w:numId="11">
    <w:abstractNumId w:val="24"/>
  </w:num>
  <w:num w:numId="12">
    <w:abstractNumId w:val="36"/>
  </w:num>
  <w:num w:numId="13">
    <w:abstractNumId w:val="48"/>
  </w:num>
  <w:num w:numId="14">
    <w:abstractNumId w:val="35"/>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43"/>
  </w:num>
  <w:num w:numId="20">
    <w:abstractNumId w:val="21"/>
  </w:num>
  <w:num w:numId="21">
    <w:abstractNumId w:val="47"/>
  </w:num>
  <w:num w:numId="22">
    <w:abstractNumId w:val="29"/>
  </w:num>
  <w:num w:numId="23">
    <w:abstractNumId w:val="30"/>
  </w:num>
  <w:num w:numId="24">
    <w:abstractNumId w:val="13"/>
  </w:num>
  <w:num w:numId="25">
    <w:abstractNumId w:val="16"/>
  </w:num>
  <w:num w:numId="26">
    <w:abstractNumId w:val="46"/>
  </w:num>
  <w:num w:numId="27">
    <w:abstractNumId w:val="44"/>
  </w:num>
  <w:num w:numId="28">
    <w:abstractNumId w:val="32"/>
  </w:num>
  <w:num w:numId="29">
    <w:abstractNumId w:val="10"/>
  </w:num>
  <w:num w:numId="30">
    <w:abstractNumId w:val="26"/>
  </w:num>
  <w:num w:numId="31">
    <w:abstractNumId w:val="18"/>
  </w:num>
  <w:num w:numId="32">
    <w:abstractNumId w:val="2"/>
  </w:num>
  <w:num w:numId="33">
    <w:abstractNumId w:val="9"/>
  </w:num>
  <w:num w:numId="34">
    <w:abstractNumId w:val="37"/>
  </w:num>
  <w:num w:numId="35">
    <w:abstractNumId w:val="12"/>
  </w:num>
  <w:num w:numId="36">
    <w:abstractNumId w:val="19"/>
  </w:num>
  <w:num w:numId="37">
    <w:abstractNumId w:val="5"/>
  </w:num>
  <w:num w:numId="38">
    <w:abstractNumId w:val="0"/>
  </w:num>
  <w:num w:numId="39">
    <w:abstractNumId w:val="33"/>
  </w:num>
  <w:num w:numId="40">
    <w:abstractNumId w:val="28"/>
  </w:num>
  <w:num w:numId="41">
    <w:abstractNumId w:val="45"/>
  </w:num>
  <w:num w:numId="42">
    <w:abstractNumId w:val="17"/>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25"/>
  </w:num>
  <w:num w:numId="46">
    <w:abstractNumId w:val="23"/>
  </w:num>
  <w:num w:numId="47">
    <w:abstractNumId w:val="7"/>
  </w:num>
  <w:num w:numId="48">
    <w:abstractNumId w:val="8"/>
  </w:num>
  <w:num w:numId="49">
    <w:abstractNumId w:val="3"/>
  </w:num>
  <w:num w:numId="50">
    <w:abstractNumId w:val="11"/>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15"/>
    <w:rsid w:val="0000119E"/>
    <w:rsid w:val="000046B5"/>
    <w:rsid w:val="00021569"/>
    <w:rsid w:val="0002399A"/>
    <w:rsid w:val="0003714B"/>
    <w:rsid w:val="000502FA"/>
    <w:rsid w:val="00051259"/>
    <w:rsid w:val="00062D53"/>
    <w:rsid w:val="00063535"/>
    <w:rsid w:val="0006364F"/>
    <w:rsid w:val="000750D4"/>
    <w:rsid w:val="000875C8"/>
    <w:rsid w:val="0009314D"/>
    <w:rsid w:val="0009469C"/>
    <w:rsid w:val="00097C99"/>
    <w:rsid w:val="000A3161"/>
    <w:rsid w:val="000D10CE"/>
    <w:rsid w:val="000D18D8"/>
    <w:rsid w:val="000D28F1"/>
    <w:rsid w:val="000D4553"/>
    <w:rsid w:val="000E18A1"/>
    <w:rsid w:val="000F1438"/>
    <w:rsid w:val="000F653C"/>
    <w:rsid w:val="00100EEE"/>
    <w:rsid w:val="00112F78"/>
    <w:rsid w:val="00115028"/>
    <w:rsid w:val="00116714"/>
    <w:rsid w:val="00123BC7"/>
    <w:rsid w:val="001250B0"/>
    <w:rsid w:val="001261D6"/>
    <w:rsid w:val="00126F93"/>
    <w:rsid w:val="00127D08"/>
    <w:rsid w:val="00130EE4"/>
    <w:rsid w:val="00133766"/>
    <w:rsid w:val="00141E34"/>
    <w:rsid w:val="00162F03"/>
    <w:rsid w:val="00175443"/>
    <w:rsid w:val="0018586D"/>
    <w:rsid w:val="00191139"/>
    <w:rsid w:val="001A0518"/>
    <w:rsid w:val="001A68B0"/>
    <w:rsid w:val="001B6EF1"/>
    <w:rsid w:val="001C0EDD"/>
    <w:rsid w:val="001C5530"/>
    <w:rsid w:val="001D52BB"/>
    <w:rsid w:val="001E64E9"/>
    <w:rsid w:val="001F6FA5"/>
    <w:rsid w:val="0020186B"/>
    <w:rsid w:val="00203789"/>
    <w:rsid w:val="002065DE"/>
    <w:rsid w:val="00207D9A"/>
    <w:rsid w:val="002126C2"/>
    <w:rsid w:val="00221991"/>
    <w:rsid w:val="00221DEF"/>
    <w:rsid w:val="00224CED"/>
    <w:rsid w:val="0023331A"/>
    <w:rsid w:val="002362D8"/>
    <w:rsid w:val="00245951"/>
    <w:rsid w:val="00257B54"/>
    <w:rsid w:val="00263578"/>
    <w:rsid w:val="00270F7E"/>
    <w:rsid w:val="00277363"/>
    <w:rsid w:val="00280288"/>
    <w:rsid w:val="00294A80"/>
    <w:rsid w:val="002974DC"/>
    <w:rsid w:val="002A5AC6"/>
    <w:rsid w:val="002B1CE9"/>
    <w:rsid w:val="002B2D83"/>
    <w:rsid w:val="002B3958"/>
    <w:rsid w:val="002B6827"/>
    <w:rsid w:val="002D0EFC"/>
    <w:rsid w:val="002E02ED"/>
    <w:rsid w:val="002E4068"/>
    <w:rsid w:val="002F4630"/>
    <w:rsid w:val="00307757"/>
    <w:rsid w:val="0032034A"/>
    <w:rsid w:val="00327F68"/>
    <w:rsid w:val="00335769"/>
    <w:rsid w:val="00343E76"/>
    <w:rsid w:val="00350B67"/>
    <w:rsid w:val="0035194D"/>
    <w:rsid w:val="00356815"/>
    <w:rsid w:val="00363770"/>
    <w:rsid w:val="0037471C"/>
    <w:rsid w:val="003755E7"/>
    <w:rsid w:val="00377D85"/>
    <w:rsid w:val="003862E7"/>
    <w:rsid w:val="00392612"/>
    <w:rsid w:val="003B2B35"/>
    <w:rsid w:val="003B54F4"/>
    <w:rsid w:val="003C0824"/>
    <w:rsid w:val="003C224D"/>
    <w:rsid w:val="003D14DB"/>
    <w:rsid w:val="003E38C7"/>
    <w:rsid w:val="003F512C"/>
    <w:rsid w:val="003F7EC7"/>
    <w:rsid w:val="004031EF"/>
    <w:rsid w:val="00406C4E"/>
    <w:rsid w:val="004074E3"/>
    <w:rsid w:val="00432A29"/>
    <w:rsid w:val="00441434"/>
    <w:rsid w:val="00445A1E"/>
    <w:rsid w:val="0046329C"/>
    <w:rsid w:val="004638F9"/>
    <w:rsid w:val="00487166"/>
    <w:rsid w:val="00494E8A"/>
    <w:rsid w:val="004A0D2F"/>
    <w:rsid w:val="004A65B6"/>
    <w:rsid w:val="004C3E6A"/>
    <w:rsid w:val="004C7560"/>
    <w:rsid w:val="004D4970"/>
    <w:rsid w:val="004D6A96"/>
    <w:rsid w:val="004E275F"/>
    <w:rsid w:val="00505EEA"/>
    <w:rsid w:val="005226A4"/>
    <w:rsid w:val="005233BA"/>
    <w:rsid w:val="00523AAB"/>
    <w:rsid w:val="00543F3D"/>
    <w:rsid w:val="0054581F"/>
    <w:rsid w:val="00551687"/>
    <w:rsid w:val="00552D4D"/>
    <w:rsid w:val="0056521B"/>
    <w:rsid w:val="0057420A"/>
    <w:rsid w:val="00576CC7"/>
    <w:rsid w:val="0057758C"/>
    <w:rsid w:val="00587DE4"/>
    <w:rsid w:val="00594C7C"/>
    <w:rsid w:val="005A6A69"/>
    <w:rsid w:val="005B2179"/>
    <w:rsid w:val="005B7567"/>
    <w:rsid w:val="005C166E"/>
    <w:rsid w:val="005C61AF"/>
    <w:rsid w:val="005C7538"/>
    <w:rsid w:val="005D2E44"/>
    <w:rsid w:val="005E14F3"/>
    <w:rsid w:val="005E1B80"/>
    <w:rsid w:val="005E2302"/>
    <w:rsid w:val="005F1FB5"/>
    <w:rsid w:val="00607C7E"/>
    <w:rsid w:val="006172DD"/>
    <w:rsid w:val="00625964"/>
    <w:rsid w:val="0062627D"/>
    <w:rsid w:val="00626A89"/>
    <w:rsid w:val="00632586"/>
    <w:rsid w:val="006344AF"/>
    <w:rsid w:val="00636AAA"/>
    <w:rsid w:val="00642FB0"/>
    <w:rsid w:val="006516A2"/>
    <w:rsid w:val="00655224"/>
    <w:rsid w:val="0066297E"/>
    <w:rsid w:val="006726D4"/>
    <w:rsid w:val="0067354F"/>
    <w:rsid w:val="0068334D"/>
    <w:rsid w:val="00692550"/>
    <w:rsid w:val="0069358C"/>
    <w:rsid w:val="006A0BCD"/>
    <w:rsid w:val="006A2C47"/>
    <w:rsid w:val="006B0FC6"/>
    <w:rsid w:val="006B739D"/>
    <w:rsid w:val="006D667E"/>
    <w:rsid w:val="006F0570"/>
    <w:rsid w:val="006F1251"/>
    <w:rsid w:val="006F3669"/>
    <w:rsid w:val="006F607B"/>
    <w:rsid w:val="006F6B81"/>
    <w:rsid w:val="006F7D9F"/>
    <w:rsid w:val="007032F4"/>
    <w:rsid w:val="00742A6D"/>
    <w:rsid w:val="00743A93"/>
    <w:rsid w:val="00747369"/>
    <w:rsid w:val="00756AE0"/>
    <w:rsid w:val="00761EF6"/>
    <w:rsid w:val="00764CD4"/>
    <w:rsid w:val="0077581A"/>
    <w:rsid w:val="00776993"/>
    <w:rsid w:val="00777713"/>
    <w:rsid w:val="00777F79"/>
    <w:rsid w:val="00782380"/>
    <w:rsid w:val="007863D2"/>
    <w:rsid w:val="0079332A"/>
    <w:rsid w:val="007A233F"/>
    <w:rsid w:val="007B1FC3"/>
    <w:rsid w:val="007B34B8"/>
    <w:rsid w:val="007C00DF"/>
    <w:rsid w:val="007C128F"/>
    <w:rsid w:val="007D35CF"/>
    <w:rsid w:val="007D5FD3"/>
    <w:rsid w:val="007E684D"/>
    <w:rsid w:val="007F26ED"/>
    <w:rsid w:val="0080032A"/>
    <w:rsid w:val="008010D2"/>
    <w:rsid w:val="00802605"/>
    <w:rsid w:val="0081206A"/>
    <w:rsid w:val="00821F64"/>
    <w:rsid w:val="00835B17"/>
    <w:rsid w:val="00842752"/>
    <w:rsid w:val="008525F4"/>
    <w:rsid w:val="008553A0"/>
    <w:rsid w:val="008609F7"/>
    <w:rsid w:val="008653F6"/>
    <w:rsid w:val="00874E1F"/>
    <w:rsid w:val="008862E4"/>
    <w:rsid w:val="00892654"/>
    <w:rsid w:val="00895A8D"/>
    <w:rsid w:val="0089635D"/>
    <w:rsid w:val="008A2C5A"/>
    <w:rsid w:val="008B64D4"/>
    <w:rsid w:val="008C40E4"/>
    <w:rsid w:val="008E25BA"/>
    <w:rsid w:val="008F4B71"/>
    <w:rsid w:val="008F4C37"/>
    <w:rsid w:val="008F4EB2"/>
    <w:rsid w:val="0090738E"/>
    <w:rsid w:val="00912512"/>
    <w:rsid w:val="00913973"/>
    <w:rsid w:val="00913DB1"/>
    <w:rsid w:val="009234AB"/>
    <w:rsid w:val="009327BE"/>
    <w:rsid w:val="009430EC"/>
    <w:rsid w:val="009464D1"/>
    <w:rsid w:val="00951DB7"/>
    <w:rsid w:val="0096333F"/>
    <w:rsid w:val="009734CA"/>
    <w:rsid w:val="00974794"/>
    <w:rsid w:val="009771F3"/>
    <w:rsid w:val="00986983"/>
    <w:rsid w:val="00993E60"/>
    <w:rsid w:val="009941DC"/>
    <w:rsid w:val="00995183"/>
    <w:rsid w:val="009B1348"/>
    <w:rsid w:val="009B624A"/>
    <w:rsid w:val="009C5B11"/>
    <w:rsid w:val="009D2D87"/>
    <w:rsid w:val="009D7B30"/>
    <w:rsid w:val="009F4B6A"/>
    <w:rsid w:val="00A06C19"/>
    <w:rsid w:val="00A13E06"/>
    <w:rsid w:val="00A23C2C"/>
    <w:rsid w:val="00A47E9F"/>
    <w:rsid w:val="00A5648E"/>
    <w:rsid w:val="00A609DB"/>
    <w:rsid w:val="00A6717E"/>
    <w:rsid w:val="00A773BD"/>
    <w:rsid w:val="00A801DD"/>
    <w:rsid w:val="00A904F2"/>
    <w:rsid w:val="00A90FC0"/>
    <w:rsid w:val="00A910E3"/>
    <w:rsid w:val="00A94009"/>
    <w:rsid w:val="00A975B8"/>
    <w:rsid w:val="00AA163A"/>
    <w:rsid w:val="00AD135A"/>
    <w:rsid w:val="00AD2B13"/>
    <w:rsid w:val="00AD73F0"/>
    <w:rsid w:val="00AE046D"/>
    <w:rsid w:val="00AE5A4E"/>
    <w:rsid w:val="00AE6BD0"/>
    <w:rsid w:val="00AF106E"/>
    <w:rsid w:val="00B001EF"/>
    <w:rsid w:val="00B20053"/>
    <w:rsid w:val="00B204AA"/>
    <w:rsid w:val="00B2113F"/>
    <w:rsid w:val="00B46FCD"/>
    <w:rsid w:val="00B555B0"/>
    <w:rsid w:val="00B61EB2"/>
    <w:rsid w:val="00B67617"/>
    <w:rsid w:val="00B80673"/>
    <w:rsid w:val="00B826E2"/>
    <w:rsid w:val="00B8526D"/>
    <w:rsid w:val="00B86C33"/>
    <w:rsid w:val="00B920D3"/>
    <w:rsid w:val="00BA4579"/>
    <w:rsid w:val="00BB2B03"/>
    <w:rsid w:val="00BC1664"/>
    <w:rsid w:val="00BE0A33"/>
    <w:rsid w:val="00BE202E"/>
    <w:rsid w:val="00BE2473"/>
    <w:rsid w:val="00BF19C4"/>
    <w:rsid w:val="00C074FE"/>
    <w:rsid w:val="00C216F4"/>
    <w:rsid w:val="00C249DA"/>
    <w:rsid w:val="00C24FC2"/>
    <w:rsid w:val="00C2674C"/>
    <w:rsid w:val="00C30DBE"/>
    <w:rsid w:val="00C37784"/>
    <w:rsid w:val="00C5635E"/>
    <w:rsid w:val="00C67607"/>
    <w:rsid w:val="00C727EF"/>
    <w:rsid w:val="00C74B40"/>
    <w:rsid w:val="00C762DF"/>
    <w:rsid w:val="00C7789F"/>
    <w:rsid w:val="00C77F21"/>
    <w:rsid w:val="00C9006A"/>
    <w:rsid w:val="00C92FD7"/>
    <w:rsid w:val="00C94B16"/>
    <w:rsid w:val="00CA51C0"/>
    <w:rsid w:val="00CB2E30"/>
    <w:rsid w:val="00CC41B3"/>
    <w:rsid w:val="00CC43AE"/>
    <w:rsid w:val="00CC5594"/>
    <w:rsid w:val="00CD1990"/>
    <w:rsid w:val="00CD70CA"/>
    <w:rsid w:val="00CE1C52"/>
    <w:rsid w:val="00CE5EA9"/>
    <w:rsid w:val="00CF105C"/>
    <w:rsid w:val="00CF2783"/>
    <w:rsid w:val="00D03D09"/>
    <w:rsid w:val="00D04C6F"/>
    <w:rsid w:val="00D103AA"/>
    <w:rsid w:val="00D11D28"/>
    <w:rsid w:val="00D13B09"/>
    <w:rsid w:val="00D24BC5"/>
    <w:rsid w:val="00D432AC"/>
    <w:rsid w:val="00D52CD0"/>
    <w:rsid w:val="00D55C4D"/>
    <w:rsid w:val="00D775CD"/>
    <w:rsid w:val="00D86748"/>
    <w:rsid w:val="00D92048"/>
    <w:rsid w:val="00D923D4"/>
    <w:rsid w:val="00D93C23"/>
    <w:rsid w:val="00D948DD"/>
    <w:rsid w:val="00DA04C2"/>
    <w:rsid w:val="00DB078B"/>
    <w:rsid w:val="00DB7925"/>
    <w:rsid w:val="00DC184D"/>
    <w:rsid w:val="00DD2F4F"/>
    <w:rsid w:val="00DD552B"/>
    <w:rsid w:val="00DD749A"/>
    <w:rsid w:val="00DE554C"/>
    <w:rsid w:val="00DE7B49"/>
    <w:rsid w:val="00E0255C"/>
    <w:rsid w:val="00E0495D"/>
    <w:rsid w:val="00E06C5D"/>
    <w:rsid w:val="00E1003B"/>
    <w:rsid w:val="00E11B0F"/>
    <w:rsid w:val="00E16C89"/>
    <w:rsid w:val="00E175E7"/>
    <w:rsid w:val="00E20441"/>
    <w:rsid w:val="00E223FD"/>
    <w:rsid w:val="00E33766"/>
    <w:rsid w:val="00E44F6D"/>
    <w:rsid w:val="00E50571"/>
    <w:rsid w:val="00E66393"/>
    <w:rsid w:val="00E74693"/>
    <w:rsid w:val="00E9014C"/>
    <w:rsid w:val="00E90190"/>
    <w:rsid w:val="00EA6619"/>
    <w:rsid w:val="00EB3CB8"/>
    <w:rsid w:val="00EB3E74"/>
    <w:rsid w:val="00EB6448"/>
    <w:rsid w:val="00EC2EDD"/>
    <w:rsid w:val="00ED2C3B"/>
    <w:rsid w:val="00EE2A85"/>
    <w:rsid w:val="00EE5BEE"/>
    <w:rsid w:val="00EF045E"/>
    <w:rsid w:val="00EF1DB7"/>
    <w:rsid w:val="00F00821"/>
    <w:rsid w:val="00F16965"/>
    <w:rsid w:val="00F2036B"/>
    <w:rsid w:val="00F24755"/>
    <w:rsid w:val="00F310E6"/>
    <w:rsid w:val="00F473B5"/>
    <w:rsid w:val="00F50AFA"/>
    <w:rsid w:val="00F5137D"/>
    <w:rsid w:val="00F5202C"/>
    <w:rsid w:val="00F63AAB"/>
    <w:rsid w:val="00F64D9A"/>
    <w:rsid w:val="00F65A4A"/>
    <w:rsid w:val="00F7435F"/>
    <w:rsid w:val="00F85C23"/>
    <w:rsid w:val="00F974B7"/>
    <w:rsid w:val="00FA041D"/>
    <w:rsid w:val="00FA1BE2"/>
    <w:rsid w:val="00FB0C04"/>
    <w:rsid w:val="00FB30BA"/>
    <w:rsid w:val="00FB5BEE"/>
    <w:rsid w:val="00FC4784"/>
    <w:rsid w:val="00FC4BC2"/>
    <w:rsid w:val="00FE170C"/>
    <w:rsid w:val="00FE2DD7"/>
    <w:rsid w:val="00FE2E56"/>
    <w:rsid w:val="00FF50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DDD61"/>
  <w15:docId w15:val="{90A1C3A6-74B3-412C-916C-785095B5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Paragraphe de liste1,List Paragraph1,References,Paragraphe de liste num,Paragraphe de liste 1,Liste couleur - Accent 11"/>
    <w:basedOn w:val="Normal"/>
    <w:link w:val="ParagraphedelisteCar"/>
    <w:uiPriority w:val="34"/>
    <w:qFormat/>
    <w:rsid w:val="002E4068"/>
    <w:pPr>
      <w:ind w:left="720"/>
      <w:contextualSpacing/>
    </w:pPr>
  </w:style>
  <w:style w:type="paragraph" w:styleId="Notedefin">
    <w:name w:val="endnote text"/>
    <w:basedOn w:val="Normal"/>
    <w:link w:val="NotedefinCar"/>
    <w:uiPriority w:val="99"/>
    <w:semiHidden/>
    <w:unhideWhenUsed/>
    <w:rsid w:val="00EE2A85"/>
    <w:pPr>
      <w:spacing w:after="0" w:line="240" w:lineRule="auto"/>
    </w:pPr>
    <w:rPr>
      <w:sz w:val="20"/>
      <w:szCs w:val="20"/>
    </w:rPr>
  </w:style>
  <w:style w:type="character" w:customStyle="1" w:styleId="NotedefinCar">
    <w:name w:val="Note de fin Car"/>
    <w:basedOn w:val="Policepardfaut"/>
    <w:link w:val="Notedefin"/>
    <w:uiPriority w:val="99"/>
    <w:semiHidden/>
    <w:rsid w:val="00EE2A85"/>
    <w:rPr>
      <w:sz w:val="20"/>
      <w:szCs w:val="20"/>
    </w:rPr>
  </w:style>
  <w:style w:type="character" w:styleId="Appeldenotedefin">
    <w:name w:val="endnote reference"/>
    <w:basedOn w:val="Policepardfaut"/>
    <w:uiPriority w:val="99"/>
    <w:semiHidden/>
    <w:unhideWhenUsed/>
    <w:rsid w:val="00EE2A85"/>
    <w:rPr>
      <w:vertAlign w:val="superscript"/>
    </w:rPr>
  </w:style>
  <w:style w:type="paragraph" w:styleId="Notedebasdepage">
    <w:name w:val="footnote text"/>
    <w:aliases w:val="Geneva 9,Font: Geneva 9,Boston 10,f,-E Fußnotentext,Fußnotentext Ursprung,Char,Fußnotentextf,Footnote Text Char2 Char,Char Char Char,Char CarNum-Doc Paragraph Char Char,Footnote Text Char1 Char Char,Footnote Text Char Char Char Char"/>
    <w:basedOn w:val="Normal"/>
    <w:link w:val="NotedebasdepageCar"/>
    <w:uiPriority w:val="99"/>
    <w:unhideWhenUsed/>
    <w:qFormat/>
    <w:rsid w:val="00EE2A85"/>
    <w:pPr>
      <w:spacing w:after="0" w:line="240" w:lineRule="auto"/>
    </w:pPr>
    <w:rPr>
      <w:sz w:val="20"/>
      <w:szCs w:val="20"/>
    </w:rPr>
  </w:style>
  <w:style w:type="character" w:customStyle="1" w:styleId="NotedebasdepageCar">
    <w:name w:val="Note de bas de page Car"/>
    <w:aliases w:val="Geneva 9 Car,Font: Geneva 9 Car,Boston 10 Car,f Car,-E Fußnotentext Car,Fußnotentext Ursprung Car,Char Car,Fußnotentextf Car,Footnote Text Char2 Char Car,Char Char Char Car,Char CarNum-Doc Paragraph Char Char Car"/>
    <w:basedOn w:val="Policepardfaut"/>
    <w:link w:val="Notedebasdepage"/>
    <w:uiPriority w:val="99"/>
    <w:rsid w:val="00EE2A85"/>
    <w:rPr>
      <w:sz w:val="20"/>
      <w:szCs w:val="20"/>
    </w:rPr>
  </w:style>
  <w:style w:type="character" w:styleId="Appelnotedebasdep">
    <w:name w:val="footnote reference"/>
    <w:aliases w:val="16 Point,Superscript 6 Point,-E Fußnotenzeichen,ftref,Superscript 6 Point + 11 pt,fr"/>
    <w:basedOn w:val="Policepardfaut"/>
    <w:uiPriority w:val="99"/>
    <w:unhideWhenUsed/>
    <w:rsid w:val="00EE2A85"/>
    <w:rPr>
      <w:vertAlign w:val="superscript"/>
    </w:rPr>
  </w:style>
  <w:style w:type="character" w:styleId="Lienhypertexte">
    <w:name w:val="Hyperlink"/>
    <w:basedOn w:val="Policepardfaut"/>
    <w:uiPriority w:val="99"/>
    <w:unhideWhenUsed/>
    <w:rsid w:val="00E0255C"/>
    <w:rPr>
      <w:color w:val="0000FF" w:themeColor="hyperlink"/>
      <w:u w:val="single"/>
    </w:rPr>
  </w:style>
  <w:style w:type="paragraph" w:styleId="En-tte">
    <w:name w:val="header"/>
    <w:basedOn w:val="Normal"/>
    <w:link w:val="En-tteCar"/>
    <w:uiPriority w:val="99"/>
    <w:unhideWhenUsed/>
    <w:rsid w:val="006D667E"/>
    <w:pPr>
      <w:tabs>
        <w:tab w:val="center" w:pos="4536"/>
        <w:tab w:val="right" w:pos="9072"/>
      </w:tabs>
      <w:spacing w:after="0" w:line="240" w:lineRule="auto"/>
    </w:pPr>
  </w:style>
  <w:style w:type="character" w:customStyle="1" w:styleId="En-tteCar">
    <w:name w:val="En-tête Car"/>
    <w:basedOn w:val="Policepardfaut"/>
    <w:link w:val="En-tte"/>
    <w:uiPriority w:val="99"/>
    <w:rsid w:val="006D667E"/>
  </w:style>
  <w:style w:type="paragraph" w:styleId="Pieddepage">
    <w:name w:val="footer"/>
    <w:basedOn w:val="Normal"/>
    <w:link w:val="PieddepageCar"/>
    <w:uiPriority w:val="99"/>
    <w:unhideWhenUsed/>
    <w:rsid w:val="006D66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667E"/>
  </w:style>
  <w:style w:type="paragraph" w:styleId="Textedebulles">
    <w:name w:val="Balloon Text"/>
    <w:basedOn w:val="Normal"/>
    <w:link w:val="TextedebullesCar"/>
    <w:uiPriority w:val="99"/>
    <w:semiHidden/>
    <w:unhideWhenUsed/>
    <w:rsid w:val="006D66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667E"/>
    <w:rPr>
      <w:rFonts w:ascii="Tahoma" w:hAnsi="Tahoma" w:cs="Tahoma"/>
      <w:sz w:val="16"/>
      <w:szCs w:val="16"/>
    </w:rPr>
  </w:style>
  <w:style w:type="character" w:customStyle="1" w:styleId="ParagraphedelisteCar">
    <w:name w:val="Paragraphe de liste Car"/>
    <w:aliases w:val="List Paragraph (numbered (a)) Car,Paragraphe de liste1 Car,List Paragraph1 Car,References Car,Paragraphe de liste num Car,Paragraphe de liste 1 Car,Liste couleur - Accent 11 Car"/>
    <w:basedOn w:val="Policepardfaut"/>
    <w:link w:val="Paragraphedeliste"/>
    <w:uiPriority w:val="34"/>
    <w:rsid w:val="00021569"/>
  </w:style>
  <w:style w:type="paragraph" w:customStyle="1" w:styleId="GCFHeaderI">
    <w:name w:val="GCF Header I."/>
    <w:basedOn w:val="Normal"/>
    <w:uiPriority w:val="99"/>
    <w:qFormat/>
    <w:rsid w:val="00100EEE"/>
    <w:pPr>
      <w:numPr>
        <w:numId w:val="24"/>
      </w:numPr>
      <w:spacing w:before="360" w:after="240" w:line="354" w:lineRule="atLeast"/>
    </w:pPr>
    <w:rPr>
      <w:rFonts w:ascii="Cambria" w:eastAsia="Times New Roman" w:hAnsi="Cambria" w:cs="Times New Roman"/>
      <w:b/>
      <w:sz w:val="28"/>
      <w:szCs w:val="24"/>
      <w:lang w:val="en-US" w:eastAsia="de-DE"/>
    </w:rPr>
  </w:style>
  <w:style w:type="paragraph" w:customStyle="1" w:styleId="GCFSubparaab">
    <w:name w:val="GCF Sub para (a)(b)"/>
    <w:basedOn w:val="NormalWeb"/>
    <w:link w:val="GCFSubparaabCharChar"/>
    <w:uiPriority w:val="99"/>
    <w:qFormat/>
    <w:rsid w:val="00100EEE"/>
    <w:pPr>
      <w:numPr>
        <w:ilvl w:val="3"/>
        <w:numId w:val="24"/>
      </w:numPr>
      <w:spacing w:before="120" w:after="240" w:line="240" w:lineRule="auto"/>
    </w:pPr>
    <w:rPr>
      <w:rFonts w:ascii="Cambria" w:eastAsia="SimSun" w:hAnsi="Cambria"/>
      <w:color w:val="000000"/>
      <w:sz w:val="20"/>
    </w:rPr>
  </w:style>
  <w:style w:type="paragraph" w:customStyle="1" w:styleId="GCFHeader11">
    <w:name w:val="GCF Header 1.1"/>
    <w:basedOn w:val="GCFHeaderI"/>
    <w:uiPriority w:val="99"/>
    <w:rsid w:val="00100EEE"/>
    <w:pPr>
      <w:numPr>
        <w:ilvl w:val="1"/>
      </w:numPr>
    </w:pPr>
    <w:rPr>
      <w:lang w:val="en-GB"/>
    </w:rPr>
  </w:style>
  <w:style w:type="character" w:customStyle="1" w:styleId="GCFSubparaabCharChar">
    <w:name w:val="GCF Sub para (a)(b) Char Char"/>
    <w:link w:val="GCFSubparaab"/>
    <w:uiPriority w:val="99"/>
    <w:rsid w:val="00100EEE"/>
    <w:rPr>
      <w:rFonts w:ascii="Cambria" w:eastAsia="SimSun" w:hAnsi="Cambria" w:cs="Times New Roman"/>
      <w:color w:val="000000"/>
      <w:sz w:val="20"/>
      <w:szCs w:val="24"/>
    </w:rPr>
  </w:style>
  <w:style w:type="paragraph" w:styleId="NormalWeb">
    <w:name w:val="Normal (Web)"/>
    <w:basedOn w:val="Normal"/>
    <w:uiPriority w:val="99"/>
    <w:unhideWhenUsed/>
    <w:rsid w:val="00100EEE"/>
    <w:rPr>
      <w:rFonts w:ascii="Times New Roman" w:hAnsi="Times New Roman" w:cs="Times New Roman"/>
      <w:sz w:val="24"/>
      <w:szCs w:val="24"/>
    </w:rPr>
  </w:style>
  <w:style w:type="paragraph" w:styleId="Textebrut">
    <w:name w:val="Plain Text"/>
    <w:basedOn w:val="Normal"/>
    <w:link w:val="TextebrutCar"/>
    <w:uiPriority w:val="99"/>
    <w:unhideWhenUsed/>
    <w:rsid w:val="00764CD4"/>
    <w:pPr>
      <w:spacing w:after="0" w:line="240" w:lineRule="auto"/>
    </w:pPr>
    <w:rPr>
      <w:rFonts w:ascii="Calibri" w:eastAsia="Calibri" w:hAnsi="Calibri" w:cs="Times New Roman"/>
      <w:szCs w:val="21"/>
      <w:lang w:val="en-GB"/>
    </w:rPr>
  </w:style>
  <w:style w:type="character" w:customStyle="1" w:styleId="TextebrutCar">
    <w:name w:val="Texte brut Car"/>
    <w:basedOn w:val="Policepardfaut"/>
    <w:link w:val="Textebrut"/>
    <w:uiPriority w:val="99"/>
    <w:rsid w:val="00764CD4"/>
    <w:rPr>
      <w:rFonts w:ascii="Calibri" w:eastAsia="Calibri" w:hAnsi="Calibri" w:cs="Times New Roman"/>
      <w:szCs w:val="21"/>
      <w:lang w:val="en-GB"/>
    </w:rPr>
  </w:style>
  <w:style w:type="paragraph" w:styleId="Listepuces">
    <w:name w:val="List Bullet"/>
    <w:basedOn w:val="Normal"/>
    <w:uiPriority w:val="99"/>
    <w:rsid w:val="000D10CE"/>
    <w:pPr>
      <w:numPr>
        <w:numId w:val="35"/>
      </w:numPr>
      <w:spacing w:after="0" w:line="240" w:lineRule="auto"/>
    </w:pPr>
    <w:rPr>
      <w:rFonts w:ascii="Times New Roman" w:eastAsia="Times New Roman" w:hAnsi="Times New Roman" w:cs="Times New Roman"/>
      <w:sz w:val="24"/>
      <w:szCs w:val="24"/>
      <w:lang w:val="en-US"/>
    </w:rPr>
  </w:style>
  <w:style w:type="paragraph" w:styleId="Retraitcorpsdetexte3">
    <w:name w:val="Body Text Indent 3"/>
    <w:basedOn w:val="Normal"/>
    <w:link w:val="Retraitcorpsdetexte3Car"/>
    <w:rsid w:val="00CA51C0"/>
    <w:pPr>
      <w:spacing w:after="0" w:line="240" w:lineRule="auto"/>
      <w:ind w:right="-144" w:firstLine="708"/>
      <w:jc w:val="both"/>
    </w:pPr>
    <w:rPr>
      <w:rFonts w:ascii="Times New Roman" w:eastAsia="Times New Roman" w:hAnsi="Times New Roman" w:cs="Times New Roman"/>
      <w:b/>
      <w:szCs w:val="20"/>
    </w:rPr>
  </w:style>
  <w:style w:type="character" w:customStyle="1" w:styleId="Retraitcorpsdetexte3Car">
    <w:name w:val="Retrait corps de texte 3 Car"/>
    <w:basedOn w:val="Policepardfaut"/>
    <w:link w:val="Retraitcorpsdetexte3"/>
    <w:rsid w:val="00CA51C0"/>
    <w:rPr>
      <w:rFonts w:ascii="Times New Roman" w:eastAsia="Times New Roman" w:hAnsi="Times New Roman" w:cs="Times New Roman"/>
      <w:b/>
      <w:szCs w:val="20"/>
      <w:lang w:eastAsia="fr-FR"/>
    </w:rPr>
  </w:style>
  <w:style w:type="character" w:customStyle="1" w:styleId="hps">
    <w:name w:val="hps"/>
    <w:basedOn w:val="Policepardfaut"/>
    <w:rsid w:val="00EA6619"/>
  </w:style>
  <w:style w:type="character" w:styleId="Lienhypertextesuivivisit">
    <w:name w:val="FollowedHyperlink"/>
    <w:basedOn w:val="Policepardfaut"/>
    <w:uiPriority w:val="99"/>
    <w:semiHidden/>
    <w:unhideWhenUsed/>
    <w:rsid w:val="008B64D4"/>
    <w:rPr>
      <w:color w:val="800080" w:themeColor="followedHyperlink"/>
      <w:u w:val="single"/>
    </w:rPr>
  </w:style>
  <w:style w:type="character" w:styleId="Accentuation">
    <w:name w:val="Emphasis"/>
    <w:basedOn w:val="Policepardfaut"/>
    <w:uiPriority w:val="20"/>
    <w:qFormat/>
    <w:rsid w:val="00576CC7"/>
    <w:rPr>
      <w:i/>
      <w:iCs/>
    </w:rPr>
  </w:style>
  <w:style w:type="character" w:styleId="Marquedecommentaire">
    <w:name w:val="annotation reference"/>
    <w:basedOn w:val="Policepardfaut"/>
    <w:uiPriority w:val="99"/>
    <w:semiHidden/>
    <w:unhideWhenUsed/>
    <w:rsid w:val="000D18D8"/>
    <w:rPr>
      <w:sz w:val="16"/>
      <w:szCs w:val="16"/>
    </w:rPr>
  </w:style>
  <w:style w:type="paragraph" w:styleId="Commentaire">
    <w:name w:val="annotation text"/>
    <w:basedOn w:val="Normal"/>
    <w:link w:val="CommentaireCar"/>
    <w:uiPriority w:val="99"/>
    <w:semiHidden/>
    <w:unhideWhenUsed/>
    <w:rsid w:val="000D18D8"/>
    <w:pPr>
      <w:spacing w:line="240" w:lineRule="auto"/>
    </w:pPr>
    <w:rPr>
      <w:sz w:val="20"/>
      <w:szCs w:val="20"/>
    </w:rPr>
  </w:style>
  <w:style w:type="character" w:customStyle="1" w:styleId="CommentaireCar">
    <w:name w:val="Commentaire Car"/>
    <w:basedOn w:val="Policepardfaut"/>
    <w:link w:val="Commentaire"/>
    <w:uiPriority w:val="99"/>
    <w:semiHidden/>
    <w:rsid w:val="000D18D8"/>
    <w:rPr>
      <w:sz w:val="20"/>
      <w:szCs w:val="20"/>
    </w:rPr>
  </w:style>
  <w:style w:type="paragraph" w:styleId="Objetducommentaire">
    <w:name w:val="annotation subject"/>
    <w:basedOn w:val="Commentaire"/>
    <w:next w:val="Commentaire"/>
    <w:link w:val="ObjetducommentaireCar"/>
    <w:uiPriority w:val="99"/>
    <w:semiHidden/>
    <w:unhideWhenUsed/>
    <w:rsid w:val="000D18D8"/>
    <w:rPr>
      <w:b/>
      <w:bCs/>
    </w:rPr>
  </w:style>
  <w:style w:type="character" w:customStyle="1" w:styleId="ObjetducommentaireCar">
    <w:name w:val="Objet du commentaire Car"/>
    <w:basedOn w:val="CommentaireCar"/>
    <w:link w:val="Objetducommentaire"/>
    <w:uiPriority w:val="99"/>
    <w:semiHidden/>
    <w:rsid w:val="000D18D8"/>
    <w:rPr>
      <w:b/>
      <w:bCs/>
      <w:sz w:val="20"/>
      <w:szCs w:val="20"/>
    </w:rPr>
  </w:style>
  <w:style w:type="paragraph" w:styleId="Rvision">
    <w:name w:val="Revision"/>
    <w:hidden/>
    <w:uiPriority w:val="99"/>
    <w:semiHidden/>
    <w:rsid w:val="000D18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529610">
      <w:bodyDiv w:val="1"/>
      <w:marLeft w:val="0"/>
      <w:marRight w:val="0"/>
      <w:marTop w:val="0"/>
      <w:marBottom w:val="0"/>
      <w:divBdr>
        <w:top w:val="none" w:sz="0" w:space="0" w:color="auto"/>
        <w:left w:val="none" w:sz="0" w:space="0" w:color="auto"/>
        <w:bottom w:val="none" w:sz="0" w:space="0" w:color="auto"/>
        <w:right w:val="none" w:sz="0" w:space="0" w:color="auto"/>
      </w:divBdr>
    </w:div>
    <w:div w:id="1098911669">
      <w:bodyDiv w:val="1"/>
      <w:marLeft w:val="0"/>
      <w:marRight w:val="0"/>
      <w:marTop w:val="0"/>
      <w:marBottom w:val="0"/>
      <w:divBdr>
        <w:top w:val="none" w:sz="0" w:space="0" w:color="auto"/>
        <w:left w:val="none" w:sz="0" w:space="0" w:color="auto"/>
        <w:bottom w:val="none" w:sz="0" w:space="0" w:color="auto"/>
        <w:right w:val="none" w:sz="0" w:space="0" w:color="auto"/>
      </w:divBdr>
    </w:div>
    <w:div w:id="1167213892">
      <w:bodyDiv w:val="1"/>
      <w:marLeft w:val="0"/>
      <w:marRight w:val="0"/>
      <w:marTop w:val="0"/>
      <w:marBottom w:val="0"/>
      <w:divBdr>
        <w:top w:val="none" w:sz="0" w:space="0" w:color="auto"/>
        <w:left w:val="none" w:sz="0" w:space="0" w:color="auto"/>
        <w:bottom w:val="none" w:sz="0" w:space="0" w:color="auto"/>
        <w:right w:val="none" w:sz="0" w:space="0" w:color="auto"/>
      </w:divBdr>
    </w:div>
    <w:div w:id="1306395538">
      <w:bodyDiv w:val="1"/>
      <w:marLeft w:val="0"/>
      <w:marRight w:val="0"/>
      <w:marTop w:val="0"/>
      <w:marBottom w:val="0"/>
      <w:divBdr>
        <w:top w:val="none" w:sz="0" w:space="0" w:color="auto"/>
        <w:left w:val="none" w:sz="0" w:space="0" w:color="auto"/>
        <w:bottom w:val="none" w:sz="0" w:space="0" w:color="auto"/>
        <w:right w:val="none" w:sz="0" w:space="0" w:color="auto"/>
      </w:divBdr>
    </w:div>
    <w:div w:id="1828205783">
      <w:bodyDiv w:val="1"/>
      <w:marLeft w:val="0"/>
      <w:marRight w:val="0"/>
      <w:marTop w:val="0"/>
      <w:marBottom w:val="0"/>
      <w:divBdr>
        <w:top w:val="none" w:sz="0" w:space="0" w:color="auto"/>
        <w:left w:val="none" w:sz="0" w:space="0" w:color="auto"/>
        <w:bottom w:val="none" w:sz="0" w:space="0" w:color="auto"/>
        <w:right w:val="none" w:sz="0" w:space="0" w:color="auto"/>
      </w:divBdr>
    </w:div>
    <w:div w:id="19041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iucn.org/library/efiles/edocs/2005-006.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ptunisia@unop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ptunisia@unop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gptunisia@unops.org" TargetMode="External"/><Relationship Id="rId4" Type="http://schemas.openxmlformats.org/officeDocument/2006/relationships/settings" Target="settings.xml"/><Relationship Id="rId9" Type="http://schemas.openxmlformats.org/officeDocument/2006/relationships/hyperlink" Target="https://www.cbd.int/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CE1446.883EDB10"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8A6F1-1762-4359-9C11-B40CC979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1927</Words>
  <Characters>10601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 Maroc</dc:creator>
  <cp:lastModifiedBy>USER</cp:lastModifiedBy>
  <cp:revision>8</cp:revision>
  <dcterms:created xsi:type="dcterms:W3CDTF">2019-05-17T08:21:00Z</dcterms:created>
  <dcterms:modified xsi:type="dcterms:W3CDTF">2019-05-22T12:55:00Z</dcterms:modified>
</cp:coreProperties>
</file>